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_GBK" w:hAnsi="方正小标宋_GBK" w:eastAsia="方正小标宋_GBK" w:cs="方正小标宋_GBK"/>
          <w:b/>
          <w:bCs/>
          <w:color w:val="0D0D0D" w:themeColor="text1" w:themeTint="F2"/>
          <w:sz w:val="44"/>
          <w:szCs w:val="44"/>
          <w:highlight w:val="none"/>
          <w14:textFill>
            <w14:solidFill>
              <w14:schemeClr w14:val="tx1">
                <w14:lumMod w14:val="95000"/>
                <w14:lumOff w14:val="5000"/>
              </w14:schemeClr>
            </w14:solidFill>
          </w14:textFill>
        </w:rPr>
      </w:pPr>
    </w:p>
    <w:p>
      <w:pPr>
        <w:pStyle w:val="48"/>
        <w:widowControl/>
        <w:spacing w:line="480" w:lineRule="exact"/>
        <w:ind w:firstLine="640"/>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南通市通州区水务有限公司</w:t>
      </w:r>
      <w:r>
        <w:rPr>
          <w:rFonts w:hint="eastAsia" w:ascii="方正小标宋_GBK" w:hAnsi="方正小标宋_GBK" w:eastAsia="方正小标宋_GBK" w:cs="方正小标宋_GBK"/>
          <w:color w:val="000000"/>
          <w:kern w:val="0"/>
          <w:sz w:val="44"/>
          <w:szCs w:val="44"/>
          <w:lang w:val="en-US" w:eastAsia="zh-CN"/>
        </w:rPr>
        <w:t>泵站补氯装置采购安装项目</w:t>
      </w:r>
    </w:p>
    <w:p>
      <w:pPr>
        <w:ind w:right="-512" w:rightChars="-244"/>
        <w:jc w:val="center"/>
        <w:rPr>
          <w:rFonts w:hint="eastAsia" w:ascii="宋体" w:hAnsi="宋体" w:cs="微软雅黑"/>
          <w:sz w:val="48"/>
          <w:szCs w:val="48"/>
          <w:highlight w:val="none"/>
          <w:lang w:eastAsia="zh-CN"/>
        </w:rPr>
      </w:pPr>
    </w:p>
    <w:p>
      <w:pPr>
        <w:ind w:right="-512" w:rightChars="-244"/>
        <w:jc w:val="center"/>
        <w:rPr>
          <w:rFonts w:hint="eastAsia" w:ascii="宋体" w:hAnsi="宋体" w:eastAsia="宋体" w:cs="微软雅黑"/>
          <w:sz w:val="48"/>
          <w:szCs w:val="48"/>
          <w:highlight w:val="none"/>
          <w:lang w:eastAsia="zh-CN"/>
        </w:rPr>
      </w:pPr>
    </w:p>
    <w:p>
      <w:pPr>
        <w:ind w:right="-512" w:rightChars="-244"/>
        <w:jc w:val="center"/>
        <w:rPr>
          <w:rFonts w:ascii="宋体" w:hAnsi="宋体" w:cs="微软雅黑"/>
          <w:sz w:val="48"/>
          <w:szCs w:val="48"/>
          <w:highlight w:val="none"/>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jc w:val="center"/>
        <w:rPr>
          <w:rFonts w:ascii="宋体" w:hAnsi="宋体" w:cs="宋体"/>
          <w:bCs/>
          <w:color w:val="0D0D0D" w:themeColor="text1" w:themeTint="F2"/>
          <w:sz w:val="84"/>
          <w:szCs w:val="84"/>
          <w:highlight w:val="none"/>
          <w14:textFill>
            <w14:solidFill>
              <w14:schemeClr w14:val="tx1">
                <w14:lumMod w14:val="95000"/>
                <w14:lumOff w14:val="5000"/>
              </w14:schemeClr>
            </w14:solidFill>
          </w14:textFill>
        </w:rPr>
      </w:pPr>
    </w:p>
    <w:p>
      <w:pPr>
        <w:spacing w:line="360" w:lineRule="auto"/>
        <w:jc w:val="center"/>
        <w:rPr>
          <w:rFonts w:ascii="宋体" w:cs="宋体"/>
          <w:bCs/>
          <w:color w:val="0D0D0D" w:themeColor="text1" w:themeTint="F2"/>
          <w:sz w:val="84"/>
          <w:szCs w:val="84"/>
          <w:highlight w:val="none"/>
          <w14:textFill>
            <w14:solidFill>
              <w14:schemeClr w14:val="tx1">
                <w14:lumMod w14:val="95000"/>
                <w14:lumOff w14:val="5000"/>
              </w14:schemeClr>
            </w14:solidFill>
          </w14:textFill>
        </w:rPr>
      </w:pPr>
      <w:r>
        <w:rPr>
          <w:rFonts w:hint="eastAsia" w:ascii="宋体" w:hAnsi="宋体" w:cs="宋体"/>
          <w:bCs/>
          <w:color w:val="0D0D0D" w:themeColor="text1" w:themeTint="F2"/>
          <w:sz w:val="84"/>
          <w:szCs w:val="84"/>
          <w:highlight w:val="none"/>
          <w14:textFill>
            <w14:solidFill>
              <w14:schemeClr w14:val="tx1">
                <w14:lumMod w14:val="95000"/>
                <w14:lumOff w14:val="5000"/>
              </w14:schemeClr>
            </w14:solidFill>
          </w14:textFill>
        </w:rPr>
        <w:t>招标文件</w:t>
      </w:r>
    </w:p>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bCs/>
          <w:color w:val="0D0D0D" w:themeColor="text1" w:themeTint="F2"/>
          <w:sz w:val="36"/>
          <w:szCs w:val="36"/>
          <w:highlight w:val="none"/>
          <w14:textFill>
            <w14:solidFill>
              <w14:schemeClr w14:val="tx1">
                <w14:lumMod w14:val="95000"/>
                <w14:lumOff w14:val="5000"/>
              </w14:schemeClr>
            </w14:solidFill>
          </w14:textFill>
        </w:rPr>
        <w:t>（资格后审）</w:t>
      </w: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360" w:lineRule="auto"/>
        <w:jc w:val="center"/>
        <w:rPr>
          <w:rFonts w:ascii="宋体" w:hAnsi="宋体" w:cs="宋体"/>
          <w:bCs/>
          <w:color w:val="0D0D0D" w:themeColor="text1" w:themeTint="F2"/>
          <w:sz w:val="30"/>
          <w:szCs w:val="30"/>
          <w:highlight w:val="none"/>
          <w14:textFill>
            <w14:solidFill>
              <w14:schemeClr w14:val="tx1">
                <w14:lumMod w14:val="95000"/>
                <w14:lumOff w14:val="5000"/>
              </w14:schemeClr>
            </w14:solidFill>
          </w14:textFill>
        </w:rPr>
      </w:pPr>
      <w:r>
        <w:rPr>
          <w:rFonts w:hint="eastAsia" w:ascii="宋体" w:hAnsi="宋体" w:cs="宋体"/>
          <w:bCs/>
          <w:color w:val="0D0D0D" w:themeColor="text1" w:themeTint="F2"/>
          <w:sz w:val="30"/>
          <w:szCs w:val="30"/>
          <w:highlight w:val="none"/>
          <w14:textFill>
            <w14:solidFill>
              <w14:schemeClr w14:val="tx1">
                <w14:lumMod w14:val="95000"/>
                <w14:lumOff w14:val="5000"/>
              </w14:schemeClr>
            </w14:solidFill>
          </w14:textFill>
        </w:rPr>
        <w:t>招标人</w:t>
      </w:r>
      <w:r>
        <w:rPr>
          <w:rFonts w:ascii="宋体" w:hAnsi="宋体" w:cs="宋体"/>
          <w:bCs/>
          <w:color w:val="0D0D0D" w:themeColor="text1" w:themeTint="F2"/>
          <w:sz w:val="30"/>
          <w:szCs w:val="30"/>
          <w:highlight w:val="none"/>
          <w14:textFill>
            <w14:solidFill>
              <w14:schemeClr w14:val="tx1">
                <w14:lumMod w14:val="95000"/>
                <w14:lumOff w14:val="5000"/>
              </w14:schemeClr>
            </w14:solidFill>
          </w14:textFill>
        </w:rPr>
        <w:t xml:space="preserve">: </w:t>
      </w:r>
      <w:r>
        <w:rPr>
          <w:rFonts w:hint="eastAsia" w:ascii="宋体" w:hAnsi="宋体" w:cs="宋体"/>
          <w:bCs/>
          <w:color w:val="0D0D0D" w:themeColor="text1" w:themeTint="F2"/>
          <w:sz w:val="30"/>
          <w:szCs w:val="30"/>
          <w:highlight w:val="none"/>
          <w14:textFill>
            <w14:solidFill>
              <w14:schemeClr w14:val="tx1">
                <w14:lumMod w14:val="95000"/>
                <w14:lumOff w14:val="5000"/>
              </w14:schemeClr>
            </w14:solidFill>
          </w14:textFill>
        </w:rPr>
        <w:t>南通市通州区水务有限公司</w:t>
      </w:r>
    </w:p>
    <w:p>
      <w:pPr>
        <w:spacing w:line="360" w:lineRule="auto"/>
        <w:jc w:val="center"/>
        <w:rPr>
          <w:rFonts w:hint="default" w:ascii="宋体" w:hAnsi="宋体" w:eastAsia="宋体" w:cs="宋体"/>
          <w:bCs/>
          <w:color w:val="0D0D0D" w:themeColor="text1" w:themeTint="F2"/>
          <w:sz w:val="32"/>
          <w:szCs w:val="32"/>
          <w:highlight w:val="none"/>
          <w:lang w:val="en-US" w:eastAsia="zh-CN"/>
          <w14:textFill>
            <w14:solidFill>
              <w14:schemeClr w14:val="tx1">
                <w14:lumMod w14:val="95000"/>
                <w14:lumOff w14:val="5000"/>
              </w14:schemeClr>
            </w14:solidFill>
          </w14:textFill>
        </w:rPr>
      </w:pPr>
      <w:r>
        <w:rPr>
          <w:rFonts w:hint="eastAsia" w:ascii="宋体" w:hAnsi="宋体" w:cs="宋体"/>
          <w:bCs/>
          <w:color w:val="0D0D0D" w:themeColor="text1" w:themeTint="F2"/>
          <w:sz w:val="32"/>
          <w:szCs w:val="32"/>
          <w:highlight w:val="none"/>
          <w14:textFill>
            <w14:solidFill>
              <w14:schemeClr w14:val="tx1">
                <w14:lumMod w14:val="95000"/>
                <w14:lumOff w14:val="5000"/>
              </w14:schemeClr>
            </w14:solidFill>
          </w14:textFill>
        </w:rPr>
        <w:t>202</w:t>
      </w:r>
      <w:r>
        <w:rPr>
          <w:rFonts w:hint="eastAsia" w:ascii="宋体" w:hAnsi="宋体" w:cs="宋体"/>
          <w:bCs/>
          <w:color w:val="0D0D0D" w:themeColor="text1" w:themeTint="F2"/>
          <w:sz w:val="32"/>
          <w:szCs w:val="32"/>
          <w:highlight w:val="none"/>
          <w:lang w:val="en-US" w:eastAsia="zh-CN"/>
          <w14:textFill>
            <w14:solidFill>
              <w14:schemeClr w14:val="tx1">
                <w14:lumMod w14:val="95000"/>
                <w14:lumOff w14:val="5000"/>
              </w14:schemeClr>
            </w14:solidFill>
          </w14:textFill>
        </w:rPr>
        <w:t>4</w:t>
      </w:r>
      <w:r>
        <w:rPr>
          <w:rFonts w:hint="eastAsia" w:ascii="宋体" w:hAnsi="宋体" w:cs="宋体"/>
          <w:bCs/>
          <w:color w:val="0D0D0D" w:themeColor="text1" w:themeTint="F2"/>
          <w:sz w:val="32"/>
          <w:szCs w:val="32"/>
          <w:highlight w:val="none"/>
          <w14:textFill>
            <w14:solidFill>
              <w14:schemeClr w14:val="tx1">
                <w14:lumMod w14:val="95000"/>
                <w14:lumOff w14:val="5000"/>
              </w14:schemeClr>
            </w14:solidFill>
          </w14:textFill>
        </w:rPr>
        <w:t>年</w:t>
      </w:r>
      <w:r>
        <w:rPr>
          <w:rFonts w:hint="eastAsia" w:ascii="宋体" w:hAnsi="宋体" w:cs="宋体"/>
          <w:bCs/>
          <w:color w:val="0D0D0D" w:themeColor="text1" w:themeTint="F2"/>
          <w:sz w:val="32"/>
          <w:szCs w:val="32"/>
          <w:highlight w:val="none"/>
          <w:lang w:val="en-US" w:eastAsia="zh-CN"/>
          <w14:textFill>
            <w14:solidFill>
              <w14:schemeClr w14:val="tx1">
                <w14:lumMod w14:val="95000"/>
                <w14:lumOff w14:val="5000"/>
              </w14:schemeClr>
            </w14:solidFill>
          </w14:textFill>
        </w:rPr>
        <w:t>4</w:t>
      </w:r>
      <w:r>
        <w:rPr>
          <w:rFonts w:hint="eastAsia" w:ascii="宋体" w:hAnsi="宋体" w:cs="宋体"/>
          <w:bCs/>
          <w:color w:val="0D0D0D" w:themeColor="text1" w:themeTint="F2"/>
          <w:sz w:val="32"/>
          <w:szCs w:val="32"/>
          <w:highlight w:val="none"/>
          <w14:textFill>
            <w14:solidFill>
              <w14:schemeClr w14:val="tx1">
                <w14:lumMod w14:val="95000"/>
                <w14:lumOff w14:val="5000"/>
              </w14:schemeClr>
            </w14:solidFill>
          </w14:textFill>
        </w:rPr>
        <w:t>月</w:t>
      </w:r>
      <w:r>
        <w:rPr>
          <w:rFonts w:hint="eastAsia" w:ascii="宋体" w:hAnsi="宋体" w:cs="宋体"/>
          <w:bCs/>
          <w:color w:val="0D0D0D" w:themeColor="text1" w:themeTint="F2"/>
          <w:sz w:val="32"/>
          <w:szCs w:val="32"/>
          <w:highlight w:val="none"/>
          <w:lang w:val="en-US" w:eastAsia="zh-CN"/>
          <w14:textFill>
            <w14:solidFill>
              <w14:schemeClr w14:val="tx1">
                <w14:lumMod w14:val="95000"/>
                <w14:lumOff w14:val="5000"/>
              </w14:schemeClr>
            </w14:solidFill>
          </w14:textFill>
        </w:rPr>
        <w:t>3日</w:t>
      </w:r>
    </w:p>
    <w:p>
      <w:pPr>
        <w:pStyle w:val="48"/>
        <w:widowControl/>
        <w:numPr>
          <w:ilvl w:val="0"/>
          <w:numId w:val="2"/>
        </w:numPr>
        <w:spacing w:line="310" w:lineRule="atLeast"/>
        <w:ind w:firstLineChars="0"/>
        <w:jc w:val="center"/>
        <w:rPr>
          <w:rFonts w:ascii="宋体" w:cs="宋体"/>
          <w:b/>
          <w:bCs/>
          <w:color w:val="0D0D0D" w:themeColor="text1" w:themeTint="F2"/>
          <w:sz w:val="36"/>
          <w:szCs w:val="36"/>
          <w:highlight w:val="none"/>
          <w14:textFill>
            <w14:solidFill>
              <w14:schemeClr w14:val="tx1">
                <w14:lumMod w14:val="95000"/>
                <w14:lumOff w14:val="5000"/>
              </w14:schemeClr>
            </w14:solidFill>
          </w14:textFill>
        </w:rPr>
      </w:pPr>
      <w:bookmarkStart w:id="0" w:name="OLE_LINK1"/>
      <w:bookmarkStart w:id="1" w:name="OLE_LINK2"/>
      <w: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t>招标公告</w:t>
      </w:r>
    </w:p>
    <w:p>
      <w:pPr>
        <w:jc w:val="center"/>
        <w:rPr>
          <w:rFonts w:hint="eastAsia" w:ascii="??" w:hAnsi="??" w:cs="宋体"/>
          <w:bCs/>
          <w:color w:val="0D0D0D" w:themeColor="text1" w:themeTint="F2"/>
          <w:kern w:val="0"/>
          <w:sz w:val="32"/>
          <w:szCs w:val="32"/>
          <w:highlight w:val="none"/>
          <w14:textFill>
            <w14:solidFill>
              <w14:schemeClr w14:val="tx1">
                <w14:lumMod w14:val="95000"/>
                <w14:lumOff w14:val="5000"/>
              </w14:schemeClr>
            </w14:solidFill>
          </w14:textFill>
        </w:rPr>
      </w:pPr>
      <w:bookmarkStart w:id="2" w:name="OLE_LINK7"/>
      <w:bookmarkStart w:id="3" w:name="OLE_LINK5"/>
      <w:bookmarkStart w:id="4" w:name="OLE_LINK6"/>
      <w:bookmarkStart w:id="5" w:name="OLE_LINK8"/>
      <w:r>
        <w:rPr>
          <w:rFonts w:hint="eastAsia" w:ascii="??" w:hAnsi="??" w:cs="宋体"/>
          <w:bCs/>
          <w:color w:val="0D0D0D" w:themeColor="text1" w:themeTint="F2"/>
          <w:kern w:val="0"/>
          <w:sz w:val="32"/>
          <w:szCs w:val="32"/>
          <w:highlight w:val="none"/>
          <w14:textFill>
            <w14:solidFill>
              <w14:schemeClr w14:val="tx1">
                <w14:lumMod w14:val="95000"/>
                <w14:lumOff w14:val="5000"/>
              </w14:schemeClr>
            </w14:solidFill>
          </w14:textFill>
        </w:rPr>
        <w:t>南通市通州区水</w:t>
      </w:r>
      <w:r>
        <w:rPr>
          <w:rFonts w:hint="eastAsia" w:ascii="??" w:hAnsi="??" w:cs="宋体"/>
          <w:bCs/>
          <w:color w:val="0D0D0D" w:themeColor="text1" w:themeTint="F2"/>
          <w:kern w:val="0"/>
          <w:sz w:val="32"/>
          <w:szCs w:val="32"/>
          <w:highlight w:val="none"/>
          <w:lang w:eastAsia="zh-CN"/>
          <w14:textFill>
            <w14:solidFill>
              <w14:schemeClr w14:val="tx1">
                <w14:lumMod w14:val="95000"/>
                <w14:lumOff w14:val="5000"/>
              </w14:schemeClr>
            </w14:solidFill>
          </w14:textFill>
        </w:rPr>
        <w:t>务</w:t>
      </w:r>
      <w:r>
        <w:rPr>
          <w:rFonts w:hint="eastAsia" w:ascii="??" w:hAnsi="??" w:cs="宋体"/>
          <w:bCs/>
          <w:color w:val="0D0D0D" w:themeColor="text1" w:themeTint="F2"/>
          <w:kern w:val="0"/>
          <w:sz w:val="32"/>
          <w:szCs w:val="32"/>
          <w:highlight w:val="none"/>
          <w14:textFill>
            <w14:solidFill>
              <w14:schemeClr w14:val="tx1">
                <w14:lumMod w14:val="95000"/>
                <w14:lumOff w14:val="5000"/>
              </w14:schemeClr>
            </w14:solidFill>
          </w14:textFill>
        </w:rPr>
        <w:t>有限公司</w:t>
      </w:r>
      <w:r>
        <w:rPr>
          <w:rFonts w:hint="eastAsia" w:ascii="??" w:hAnsi="??" w:cs="宋体"/>
          <w:bCs/>
          <w:color w:val="0D0D0D" w:themeColor="text1" w:themeTint="F2"/>
          <w:kern w:val="0"/>
          <w:sz w:val="32"/>
          <w:szCs w:val="32"/>
          <w:highlight w:val="none"/>
          <w:lang w:eastAsia="zh-CN"/>
          <w14:textFill>
            <w14:solidFill>
              <w14:schemeClr w14:val="tx1">
                <w14:lumMod w14:val="95000"/>
                <w14:lumOff w14:val="5000"/>
              </w14:schemeClr>
            </w14:solidFill>
          </w14:textFill>
        </w:rPr>
        <w:t>泵站补氯装置</w:t>
      </w:r>
      <w:r>
        <w:rPr>
          <w:rFonts w:hint="eastAsia" w:ascii="??" w:hAnsi="??" w:cs="宋体"/>
          <w:bCs/>
          <w:color w:val="0D0D0D" w:themeColor="text1" w:themeTint="F2"/>
          <w:kern w:val="0"/>
          <w:sz w:val="32"/>
          <w:szCs w:val="32"/>
          <w:highlight w:val="none"/>
          <w14:textFill>
            <w14:solidFill>
              <w14:schemeClr w14:val="tx1">
                <w14:lumMod w14:val="95000"/>
                <w14:lumOff w14:val="5000"/>
              </w14:schemeClr>
            </w14:solidFill>
          </w14:textFill>
        </w:rPr>
        <w:t>采购项目</w:t>
      </w:r>
    </w:p>
    <w:p>
      <w:pPr>
        <w:jc w:val="center"/>
        <w:rPr>
          <w:rFonts w:ascii="??" w:hAnsi="??" w:cs="宋体"/>
          <w:bCs/>
          <w:color w:val="0D0D0D" w:themeColor="text1" w:themeTint="F2"/>
          <w:kern w:val="0"/>
          <w:sz w:val="32"/>
          <w:szCs w:val="32"/>
          <w:highlight w:val="none"/>
          <w14:textFill>
            <w14:solidFill>
              <w14:schemeClr w14:val="tx1">
                <w14:lumMod w14:val="95000"/>
                <w14:lumOff w14:val="5000"/>
              </w14:schemeClr>
            </w14:solidFill>
          </w14:textFill>
        </w:rPr>
      </w:pPr>
      <w:r>
        <w:rPr>
          <w:rFonts w:hint="eastAsia" w:ascii="??" w:hAnsi="??" w:cs="宋体"/>
          <w:bCs/>
          <w:color w:val="0D0D0D" w:themeColor="text1" w:themeTint="F2"/>
          <w:kern w:val="0"/>
          <w:sz w:val="32"/>
          <w:szCs w:val="32"/>
          <w:highlight w:val="none"/>
          <w14:textFill>
            <w14:solidFill>
              <w14:schemeClr w14:val="tx1">
                <w14:lumMod w14:val="95000"/>
                <w14:lumOff w14:val="5000"/>
              </w14:schemeClr>
            </w14:solidFill>
          </w14:textFill>
        </w:rPr>
        <w:t>招标公告</w:t>
      </w:r>
      <w:r>
        <w:rPr>
          <w:rFonts w:hint="eastAsia" w:ascii="??" w:hAnsi="??" w:cs="宋体"/>
          <w:bCs/>
          <w:color w:val="0D0D0D" w:themeColor="text1" w:themeTint="F2"/>
          <w:spacing w:val="-4"/>
          <w:kern w:val="0"/>
          <w:sz w:val="32"/>
          <w:szCs w:val="32"/>
          <w:highlight w:val="none"/>
          <w14:textFill>
            <w14:solidFill>
              <w14:schemeClr w14:val="tx1">
                <w14:lumMod w14:val="95000"/>
                <w14:lumOff w14:val="5000"/>
              </w14:schemeClr>
            </w14:solidFill>
          </w14:textFill>
        </w:rPr>
        <w:t>（资格后审）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黑体"/>
          <w:color w:val="0D0D0D" w:themeColor="text1" w:themeTint="F2"/>
          <w:sz w:val="32"/>
          <w:szCs w:val="32"/>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一、</w:t>
      </w:r>
      <w:r>
        <w:rPr>
          <w:rFonts w:hint="eastAsia" w:ascii="??" w:hAnsi="??" w:cs="宋体"/>
          <w:color w:val="0D0D0D" w:themeColor="text1" w:themeTint="F2"/>
          <w:kern w:val="0"/>
          <w:sz w:val="24"/>
          <w:szCs w:val="24"/>
          <w:highlight w:val="none"/>
          <w:u w:val="single"/>
          <w14:textFill>
            <w14:solidFill>
              <w14:schemeClr w14:val="tx1">
                <w14:lumMod w14:val="95000"/>
                <w14:lumOff w14:val="5000"/>
              </w14:schemeClr>
            </w14:solidFill>
          </w14:textFill>
        </w:rPr>
        <w:t>南通市通州区水</w:t>
      </w:r>
      <w:r>
        <w:rPr>
          <w:rFonts w:hint="eastAsia" w:ascii="??" w:hAnsi="??" w:cs="宋体"/>
          <w:color w:val="0D0D0D" w:themeColor="text1" w:themeTint="F2"/>
          <w:kern w:val="0"/>
          <w:sz w:val="24"/>
          <w:szCs w:val="24"/>
          <w:highlight w:val="none"/>
          <w:u w:val="single"/>
          <w:lang w:eastAsia="zh-CN"/>
          <w14:textFill>
            <w14:solidFill>
              <w14:schemeClr w14:val="tx1">
                <w14:lumMod w14:val="95000"/>
                <w14:lumOff w14:val="5000"/>
              </w14:schemeClr>
            </w14:solidFill>
          </w14:textFill>
        </w:rPr>
        <w:t>务</w:t>
      </w:r>
      <w:r>
        <w:rPr>
          <w:rFonts w:hint="eastAsia" w:ascii="??" w:hAnsi="??" w:cs="宋体"/>
          <w:color w:val="0D0D0D" w:themeColor="text1" w:themeTint="F2"/>
          <w:kern w:val="0"/>
          <w:sz w:val="24"/>
          <w:szCs w:val="24"/>
          <w:highlight w:val="none"/>
          <w:u w:val="single"/>
          <w14:textFill>
            <w14:solidFill>
              <w14:schemeClr w14:val="tx1">
                <w14:lumMod w14:val="95000"/>
                <w14:lumOff w14:val="5000"/>
              </w14:schemeClr>
            </w14:solidFill>
          </w14:textFill>
        </w:rPr>
        <w:t>有限公司</w:t>
      </w:r>
      <w:r>
        <w:rPr>
          <w:rFonts w:hint="eastAsia" w:ascii="??" w:hAnsi="??" w:cs="宋体"/>
          <w:color w:val="0D0D0D" w:themeColor="text1" w:themeTint="F2"/>
          <w:kern w:val="0"/>
          <w:sz w:val="24"/>
          <w:szCs w:val="24"/>
          <w:highlight w:val="none"/>
          <w:u w:val="single"/>
          <w:lang w:eastAsia="zh-CN"/>
          <w14:textFill>
            <w14:solidFill>
              <w14:schemeClr w14:val="tx1">
                <w14:lumMod w14:val="95000"/>
                <w14:lumOff w14:val="5000"/>
              </w14:schemeClr>
            </w14:solidFill>
          </w14:textFill>
        </w:rPr>
        <w:t>泵站补氯装置</w:t>
      </w:r>
      <w:r>
        <w:rPr>
          <w:rFonts w:hint="eastAsia" w:ascii="??" w:hAnsi="??" w:cs="宋体"/>
          <w:color w:val="0D0D0D" w:themeColor="text1" w:themeTint="F2"/>
          <w:kern w:val="0"/>
          <w:sz w:val="24"/>
          <w:szCs w:val="24"/>
          <w:highlight w:val="none"/>
          <w:u w:val="single"/>
          <w14:textFill>
            <w14:solidFill>
              <w14:schemeClr w14:val="tx1">
                <w14:lumMod w14:val="95000"/>
                <w14:lumOff w14:val="5000"/>
              </w14:schemeClr>
            </w14:solidFill>
          </w14:textFill>
        </w:rPr>
        <w:t>采购项目</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已经批准实施。项目所需资金来源是</w:t>
      </w:r>
      <w:r>
        <w:rPr>
          <w:rFonts w:hint="eastAsia" w:ascii="??" w:hAnsi="??" w:cs="宋体"/>
          <w:color w:val="0D0D0D" w:themeColor="text1" w:themeTint="F2"/>
          <w:kern w:val="0"/>
          <w:sz w:val="24"/>
          <w:szCs w:val="24"/>
          <w:highlight w:val="none"/>
          <w:u w:val="single"/>
          <w14:textFill>
            <w14:solidFill>
              <w14:schemeClr w14:val="tx1">
                <w14:lumMod w14:val="95000"/>
                <w14:lumOff w14:val="5000"/>
              </w14:schemeClr>
            </w14:solidFill>
          </w14:textFill>
        </w:rPr>
        <w:t>公司自筹</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，已落实，现决定对该项目进行公开招标，选定中标人。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二</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、项目概况：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1</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项目规模：泵站补氯装置采购</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，具体见报价清单</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2</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质量标准：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2.1</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中标方须提供符合采购需求、符合国家质量检测标准的原装合格产品（提供相关证明材料、随机资料等）。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2.2</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成交产品的技术标准按国家、</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行业等相关</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标准执行；但在招标文件中有特别要求的，按招标文件中规定的要求执行，并且符合相关法律、法规规定的要求。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2.3</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 xml:space="preserve">产品的包装，国家或行业主管部门有规定的，按规定执行。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2.4</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中标人应保证提供的产品不得侵犯第三方专利权、商标权和工业设计权、版权等。否则，中标人应负全部责任，并承担由此引起的一切后果。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2.5</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中标人应保证其货物在正确安装、正常使用和保养条件下，在其使用寿命期内应具有满意的性能。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2.6</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中标人应采取必要的安全措施保证货物的运输及安装的安全，并承担货物的运输及安装过程中产生的一切风险及全部责任。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2.7投标人应充分勘查现场，施工过程中所产生的一切费用均包含在本次报价中。</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3</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供货时间：</w:t>
      </w:r>
      <w:r>
        <w:rPr>
          <w:rFonts w:hint="eastAsia" w:ascii="??" w:hAnsi="??" w:cs="宋体"/>
          <w:color w:val="0D0D0D" w:themeColor="text1" w:themeTint="F2"/>
          <w:kern w:val="0"/>
          <w:sz w:val="24"/>
          <w:szCs w:val="24"/>
          <w:highlight w:val="none"/>
          <w:shd w:val="clear" w:color="auto" w:fill="auto"/>
          <w:lang w:eastAsia="zh-CN"/>
          <w14:textFill>
            <w14:solidFill>
              <w14:schemeClr w14:val="tx1">
                <w14:lumMod w14:val="95000"/>
                <w14:lumOff w14:val="5000"/>
              </w14:schemeClr>
            </w14:solidFill>
          </w14:textFill>
        </w:rPr>
        <w:t>确</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定为中标人在合同签订之日起40个日历天内把货物送至采购人指定地点并完成安装调试工作，运费由供货方承担</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 w:hAnsi="??" w:cs="宋体"/>
          <w:color w:val="auto"/>
          <w:kern w:val="0"/>
          <w:sz w:val="24"/>
          <w:szCs w:val="24"/>
          <w:highlight w:val="none"/>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4</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供货地点：南通市通州区。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5</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最高限价：人民币</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9.8</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万元。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三</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、投标人应当具备的资格条件：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1.具有独立的法人资格，具有电子与智能化工程专业承包</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贰</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级资质，并在人员、设备、资金等方面具有相应的施工能力；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2.在全国范围内没有被暂停投标并在公示期内或无不良行为记录（俗称黑名单）且在公示期内，没有被列入失信被执行人，没有被列入重大税收违法案件名单，没有被列入政府采购违法失信行为记录名单；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3.投标人须提供人近</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三</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年(20</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21</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年1月至</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202</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3</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年</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12</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月) 自来水或污水自控设备供货安装调试项目类似业绩3个（中标通知书、施工合同、竣工验收证书）并提供网上中标公示截图</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4.本次</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招标</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不接受联合体报价。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2" w:firstLineChars="200"/>
        <w:jc w:val="left"/>
        <w:textAlignment w:val="auto"/>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四</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、招标资料的获取及费用：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cs="宋体"/>
          <w:color w:val="000000"/>
          <w:sz w:val="24"/>
          <w:highlight w:val="none"/>
        </w:rPr>
      </w:pPr>
      <w:r>
        <w:rPr>
          <w:rFonts w:cs="宋体"/>
          <w:color w:val="000000"/>
          <w:sz w:val="24"/>
          <w:highlight w:val="none"/>
        </w:rPr>
        <w:t>1</w:t>
      </w:r>
      <w:r>
        <w:rPr>
          <w:rFonts w:hint="eastAsia" w:cs="宋体"/>
          <w:color w:val="000000"/>
          <w:sz w:val="24"/>
          <w:highlight w:val="none"/>
        </w:rPr>
        <w:t>、投标人通过“南通市</w:t>
      </w:r>
      <w:r>
        <w:rPr>
          <w:rFonts w:hint="eastAsia" w:cs="宋体"/>
          <w:color w:val="000000"/>
          <w:sz w:val="24"/>
          <w:highlight w:val="none"/>
          <w:lang w:val="en-US" w:eastAsia="zh-CN"/>
        </w:rPr>
        <w:t>通州区水务有限公司网站</w:t>
      </w:r>
      <w:r>
        <w:rPr>
          <w:rFonts w:hint="eastAsia" w:cs="宋体"/>
          <w:color w:val="000000"/>
          <w:sz w:val="24"/>
          <w:highlight w:val="none"/>
        </w:rPr>
        <w:t>”→下载招标公告及文件。</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五</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、答疑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sz w:val="24"/>
          <w:highlight w:val="none"/>
        </w:rPr>
      </w:pPr>
      <w:r>
        <w:rPr>
          <w:rFonts w:hint="eastAsia" w:ascii="宋体" w:hAnsi="宋体" w:cs="宋体"/>
          <w:color w:val="000000"/>
          <w:sz w:val="24"/>
          <w:highlight w:val="none"/>
        </w:rPr>
        <w:t>1、投标人对招标活动事项有疑问的，应当在202</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日17:00前向招标人提出询问，招标人将在202</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12</w:t>
      </w:r>
      <w:r>
        <w:rPr>
          <w:rFonts w:hint="eastAsia" w:ascii="宋体" w:hAnsi="宋体" w:cs="宋体"/>
          <w:color w:val="000000"/>
          <w:sz w:val="24"/>
          <w:highlight w:val="none"/>
        </w:rPr>
        <w:t>日17:00前对投标人依法提出的询问作出答复。</w:t>
      </w:r>
      <w:r>
        <w:rPr>
          <w:rFonts w:ascii="宋体" w:hAnsi="宋体" w:cs="宋体"/>
          <w:color w:val="000000"/>
          <w:sz w:val="24"/>
          <w:highlight w:val="none"/>
        </w:rPr>
        <w:br w:type="textWrapping"/>
      </w:r>
      <w:r>
        <w:rPr>
          <w:rFonts w:hint="eastAsia" w:ascii="宋体" w:hAnsi="宋体" w:cs="宋体"/>
          <w:color w:val="000000"/>
          <w:sz w:val="24"/>
          <w:highlight w:val="none"/>
        </w:rPr>
        <w:t xml:space="preserve">    2、潜在投标人</w:t>
      </w:r>
      <w:r>
        <w:rPr>
          <w:rFonts w:hint="eastAsia" w:ascii="宋体" w:hAnsi="宋体" w:cs="宋体"/>
          <w:color w:val="000000"/>
          <w:kern w:val="0"/>
          <w:sz w:val="24"/>
          <w:szCs w:val="24"/>
          <w:highlight w:val="none"/>
          <w:shd w:val="clear" w:color="auto" w:fill="FFFFFF"/>
        </w:rPr>
        <w:t>或者其他利害关系人</w:t>
      </w:r>
      <w:r>
        <w:rPr>
          <w:rFonts w:hint="eastAsia" w:ascii="宋体" w:hAnsi="宋体" w:cs="宋体"/>
          <w:color w:val="000000"/>
          <w:sz w:val="24"/>
          <w:highlight w:val="none"/>
        </w:rPr>
        <w:t>对招标文件有异议的应当在</w:t>
      </w:r>
      <w:r>
        <w:rPr>
          <w:rFonts w:hint="eastAsia" w:ascii="宋体" w:hAnsi="宋体" w:cs="宋体"/>
          <w:color w:val="000000"/>
          <w:sz w:val="24"/>
          <w:highlight w:val="none"/>
          <w:lang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月</w:t>
      </w:r>
      <w:r>
        <w:rPr>
          <w:rFonts w:hint="eastAsia" w:ascii="宋体" w:hAnsi="宋体" w:cs="宋体"/>
          <w:color w:val="000000"/>
          <w:sz w:val="24"/>
          <w:highlight w:val="none"/>
          <w:lang w:val="en-US" w:eastAsia="zh-CN"/>
        </w:rPr>
        <w:t>10</w:t>
      </w:r>
      <w:r>
        <w:rPr>
          <w:rFonts w:hint="eastAsia" w:ascii="宋体" w:hAnsi="宋体" w:cs="宋体"/>
          <w:color w:val="000000"/>
          <w:sz w:val="24"/>
          <w:highlight w:val="none"/>
        </w:rPr>
        <w:t>日提出，潜在投标人</w:t>
      </w:r>
      <w:r>
        <w:rPr>
          <w:rFonts w:hint="eastAsia" w:ascii="宋体" w:hAnsi="宋体" w:cs="宋体"/>
          <w:color w:val="000000"/>
          <w:kern w:val="0"/>
          <w:sz w:val="24"/>
          <w:szCs w:val="24"/>
          <w:highlight w:val="none"/>
          <w:shd w:val="clear" w:color="auto" w:fill="FFFFFF"/>
        </w:rPr>
        <w:t>或者其他利害关系人</w:t>
      </w:r>
      <w:r>
        <w:rPr>
          <w:rFonts w:hint="eastAsia" w:ascii="宋体" w:hAnsi="宋体" w:cs="宋体"/>
          <w:color w:val="000000"/>
          <w:sz w:val="24"/>
          <w:highlight w:val="none"/>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keepNext w:val="0"/>
        <w:keepLines w:val="0"/>
        <w:pageBreakBefore w:val="0"/>
        <w:widowControl/>
        <w:kinsoku/>
        <w:wordWrap/>
        <w:overflowPunct/>
        <w:topLinePunct w:val="0"/>
        <w:autoSpaceDE/>
        <w:autoSpaceDN/>
        <w:bidi w:val="0"/>
        <w:adjustRightInd/>
        <w:snapToGrid/>
        <w:spacing w:line="360" w:lineRule="auto"/>
        <w:ind w:left="359" w:leftChars="171"/>
        <w:jc w:val="left"/>
        <w:textAlignment w:val="auto"/>
        <w:rPr>
          <w:rFonts w:cs="宋体"/>
          <w:color w:val="000000"/>
          <w:sz w:val="24"/>
          <w:highlight w:val="none"/>
        </w:rPr>
      </w:pPr>
      <w:r>
        <w:rPr>
          <w:rFonts w:cs="宋体"/>
          <w:color w:val="000000"/>
          <w:sz w:val="24"/>
          <w:highlight w:val="none"/>
        </w:rPr>
        <w:t>招标人将在收到异议之日起三日内作出答复</w:t>
      </w:r>
      <w:r>
        <w:rPr>
          <w:rFonts w:hint="eastAsia" w:cs="宋体"/>
          <w:color w:val="000000"/>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color w:val="000000"/>
          <w:sz w:val="24"/>
          <w:highlight w:val="none"/>
        </w:rPr>
      </w:pPr>
      <w:r>
        <w:rPr>
          <w:rFonts w:hint="eastAsia" w:ascii="宋体" w:hAnsi="宋体" w:cs="宋体"/>
          <w:color w:val="000000"/>
          <w:sz w:val="24"/>
          <w:highlight w:val="none"/>
        </w:rPr>
        <w:t>3、招标人委托招标代理机构招标的，投标人可以向招标代理机构提出询问或者异议，招标代理机构依照《中华人民共和国招标投标法》有关规定就招标人授权范围内的事项作出答复。</w:t>
      </w:r>
      <w:r>
        <w:rPr>
          <w:rFonts w:ascii="宋体" w:hAnsi="宋体" w:cs="宋体"/>
          <w:color w:val="000000"/>
          <w:sz w:val="24"/>
          <w:highlight w:val="none"/>
        </w:rPr>
        <w:br w:type="textWrapping"/>
      </w:r>
      <w:r>
        <w:rPr>
          <w:rFonts w:ascii="宋体" w:hAnsi="宋体" w:cs="宋体"/>
          <w:color w:val="000000"/>
          <w:sz w:val="24"/>
          <w:highlight w:val="none"/>
        </w:rPr>
        <w:t xml:space="preserve">    4</w:t>
      </w:r>
      <w:r>
        <w:rPr>
          <w:rFonts w:hint="eastAsia" w:ascii="宋体" w:hAnsi="宋体" w:cs="宋体"/>
          <w:color w:val="000000"/>
          <w:sz w:val="24"/>
          <w:highlight w:val="none"/>
        </w:rPr>
        <w:t>、招标人可能在</w:t>
      </w:r>
      <w:r>
        <w:rPr>
          <w:rFonts w:hint="eastAsia" w:ascii="宋体" w:hAnsi="宋体" w:cs="宋体"/>
          <w:color w:val="000000"/>
          <w:sz w:val="24"/>
          <w:highlight w:val="none"/>
          <w:lang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4月12</w:t>
      </w:r>
      <w:r>
        <w:rPr>
          <w:rFonts w:hint="eastAsia" w:ascii="宋体" w:hAnsi="宋体" w:cs="宋体"/>
          <w:color w:val="000000"/>
          <w:sz w:val="24"/>
          <w:highlight w:val="none"/>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
          <w:b/>
          <w:b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六</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、投标文件的递交</w:t>
      </w:r>
      <w:r>
        <w:rPr>
          <w:rFonts w:ascii="??" w:hAnsi="??" w:cs="??"/>
          <w:b/>
          <w:bCs/>
          <w:color w:val="0D0D0D" w:themeColor="text1" w:themeTint="F2"/>
          <w:kern w:val="0"/>
          <w:sz w:val="24"/>
          <w:szCs w:val="24"/>
          <w:highlight w:val="none"/>
          <w14:textFill>
            <w14:solidFill>
              <w14:schemeClr w14:val="tx1">
                <w14:lumMod w14:val="95000"/>
                <w14:lumOff w14:val="5000"/>
              </w14:schemeClr>
            </w14:solidFill>
          </w14:textFill>
        </w:rPr>
        <w:t>:</w:t>
      </w:r>
    </w:p>
    <w:p>
      <w:pPr>
        <w:pStyle w:val="48"/>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cs="宋体"/>
          <w:color w:val="000000"/>
          <w:sz w:val="24"/>
          <w:highlight w:val="none"/>
        </w:rPr>
      </w:pPr>
      <w:r>
        <w:rPr>
          <w:rFonts w:cs="宋体"/>
          <w:color w:val="000000"/>
          <w:sz w:val="24"/>
          <w:highlight w:val="none"/>
        </w:rPr>
        <w:t>1</w:t>
      </w:r>
      <w:r>
        <w:rPr>
          <w:rFonts w:hint="eastAsia" w:cs="宋体"/>
          <w:color w:val="000000"/>
          <w:sz w:val="24"/>
          <w:highlight w:val="none"/>
        </w:rPr>
        <w:t>、</w:t>
      </w:r>
      <w:r>
        <w:rPr>
          <w:rFonts w:cs="宋体"/>
          <w:color w:val="000000"/>
          <w:sz w:val="24"/>
          <w:highlight w:val="none"/>
        </w:rPr>
        <w:t>投标截止时间：</w:t>
      </w:r>
      <w:r>
        <w:rPr>
          <w:rFonts w:hint="eastAsia" w:cs="宋体"/>
          <w:b/>
          <w:color w:val="000000"/>
          <w:sz w:val="24"/>
          <w:highlight w:val="none"/>
          <w:lang w:eastAsia="zh-CN"/>
        </w:rPr>
        <w:t>2024</w:t>
      </w:r>
      <w:r>
        <w:rPr>
          <w:rFonts w:cs="宋体"/>
          <w:b/>
          <w:color w:val="000000"/>
          <w:sz w:val="24"/>
          <w:highlight w:val="none"/>
        </w:rPr>
        <w:t>年</w:t>
      </w:r>
      <w:r>
        <w:rPr>
          <w:rFonts w:hint="eastAsia" w:cs="宋体"/>
          <w:b/>
          <w:color w:val="000000"/>
          <w:sz w:val="24"/>
          <w:highlight w:val="none"/>
          <w:lang w:val="en-US" w:eastAsia="zh-CN"/>
        </w:rPr>
        <w:t>4</w:t>
      </w:r>
      <w:r>
        <w:rPr>
          <w:rFonts w:cs="宋体"/>
          <w:b/>
          <w:color w:val="000000"/>
          <w:sz w:val="24"/>
          <w:highlight w:val="none"/>
        </w:rPr>
        <w:t>月</w:t>
      </w:r>
      <w:bookmarkStart w:id="35" w:name="_GoBack"/>
      <w:bookmarkEnd w:id="35"/>
      <w:r>
        <w:rPr>
          <w:rFonts w:hint="eastAsia" w:cs="宋体"/>
          <w:b/>
          <w:color w:val="000000"/>
          <w:sz w:val="24"/>
          <w:highlight w:val="none"/>
          <w:lang w:val="en-US" w:eastAsia="zh-CN"/>
        </w:rPr>
        <w:t>15</w:t>
      </w:r>
      <w:r>
        <w:rPr>
          <w:rFonts w:cs="宋体"/>
          <w:b/>
          <w:color w:val="000000"/>
          <w:sz w:val="24"/>
          <w:highlight w:val="none"/>
        </w:rPr>
        <w:t>日</w:t>
      </w:r>
      <w:r>
        <w:rPr>
          <w:rFonts w:hint="eastAsia" w:cs="宋体"/>
          <w:b/>
          <w:color w:val="000000"/>
          <w:sz w:val="24"/>
          <w:highlight w:val="none"/>
          <w:lang w:val="en-US" w:eastAsia="zh-CN"/>
        </w:rPr>
        <w:t>9</w:t>
      </w:r>
      <w:r>
        <w:rPr>
          <w:rFonts w:cs="宋体"/>
          <w:b/>
          <w:color w:val="000000"/>
          <w:sz w:val="24"/>
          <w:highlight w:val="none"/>
        </w:rPr>
        <w:t>时</w:t>
      </w:r>
      <w:r>
        <w:rPr>
          <w:rFonts w:hint="eastAsia" w:cs="宋体"/>
          <w:b/>
          <w:color w:val="000000"/>
          <w:sz w:val="24"/>
          <w:highlight w:val="none"/>
          <w:lang w:val="en-US" w:eastAsia="zh-CN"/>
        </w:rPr>
        <w:t>3</w:t>
      </w:r>
      <w:r>
        <w:rPr>
          <w:rFonts w:hint="eastAsia" w:cs="宋体"/>
          <w:b/>
          <w:color w:val="000000"/>
          <w:sz w:val="24"/>
          <w:highlight w:val="none"/>
        </w:rPr>
        <w:t>0</w:t>
      </w:r>
      <w:r>
        <w:rPr>
          <w:rFonts w:cs="宋体"/>
          <w:b/>
          <w:color w:val="000000"/>
          <w:sz w:val="24"/>
          <w:highlight w:val="none"/>
        </w:rPr>
        <w:t>分前</w:t>
      </w:r>
      <w:r>
        <w:rPr>
          <w:rFonts w:hint="eastAsia" w:cs="宋体"/>
          <w:color w:val="000000"/>
          <w:sz w:val="24"/>
          <w:highlight w:val="none"/>
        </w:rPr>
        <w:t>，</w:t>
      </w:r>
      <w:r>
        <w:rPr>
          <w:rFonts w:cs="宋体"/>
          <w:color w:val="000000"/>
          <w:sz w:val="24"/>
          <w:highlight w:val="none"/>
        </w:rPr>
        <w:t>逾期送达的投标文件将被拒绝。</w:t>
      </w:r>
    </w:p>
    <w:p>
      <w:pPr>
        <w:pStyle w:val="48"/>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
          <w:color w:val="0D0D0D" w:themeColor="text1" w:themeTint="F2"/>
          <w:kern w:val="0"/>
          <w:sz w:val="24"/>
          <w:szCs w:val="24"/>
          <w:highlight w:val="none"/>
          <w14:textFill>
            <w14:solidFill>
              <w14:schemeClr w14:val="tx1">
                <w14:lumMod w14:val="95000"/>
                <w14:lumOff w14:val="5000"/>
              </w14:schemeClr>
            </w14:solidFill>
          </w14:textFill>
        </w:rPr>
        <w:t>2</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、投标文件</w:t>
      </w:r>
      <w:r>
        <w:rPr>
          <w:rFonts w:hint="eastAsia" w:ascii="??" w:hAnsi="??" w:cs="宋体"/>
          <w:color w:val="0D0D0D" w:themeColor="text1" w:themeTint="F2"/>
          <w:kern w:val="0"/>
          <w:sz w:val="24"/>
          <w:highlight w:val="none"/>
          <w14:textFill>
            <w14:solidFill>
              <w14:schemeClr w14:val="tx1">
                <w14:lumMod w14:val="95000"/>
                <w14:lumOff w14:val="5000"/>
              </w14:schemeClr>
            </w14:solidFill>
          </w14:textFill>
        </w:rPr>
        <w:t>递交</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截止时间：</w:t>
      </w:r>
      <w:r>
        <w:rPr>
          <w:rFonts w:hint="eastAsia" w:ascii="??" w:hAnsi="??" w:cs="??"/>
          <w:b/>
          <w:bCs/>
          <w:color w:val="0D0D0D" w:themeColor="text1" w:themeTint="F2"/>
          <w:kern w:val="0"/>
          <w:sz w:val="24"/>
          <w:szCs w:val="24"/>
          <w:highlight w:val="none"/>
          <w:lang w:eastAsia="zh-CN"/>
          <w14:textFill>
            <w14:solidFill>
              <w14:schemeClr w14:val="tx1">
                <w14:lumMod w14:val="95000"/>
                <w14:lumOff w14:val="5000"/>
              </w14:schemeClr>
            </w14:solidFill>
          </w14:textFill>
        </w:rPr>
        <w:t>2024</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年</w:t>
      </w: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4</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月</w:t>
      </w: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15</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日</w:t>
      </w: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9</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时</w:t>
      </w: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3</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0分</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前</w:t>
      </w:r>
      <w:r>
        <w:rPr>
          <w:rFonts w:hint="eastAsia" w:ascii="??" w:hAnsi="??" w:cs="??"/>
          <w:color w:val="0D0D0D" w:themeColor="text1" w:themeTint="F2"/>
          <w:kern w:val="0"/>
          <w:sz w:val="24"/>
          <w:highlight w:val="none"/>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逾期送达的投标文件将被拒绝。</w:t>
      </w:r>
    </w:p>
    <w:p>
      <w:pPr>
        <w:pStyle w:val="48"/>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
          <w:color w:val="0D0D0D" w:themeColor="text1" w:themeTint="F2"/>
          <w:kern w:val="0"/>
          <w:sz w:val="24"/>
          <w:szCs w:val="24"/>
          <w:highlight w:val="none"/>
          <w14:textFill>
            <w14:solidFill>
              <w14:schemeClr w14:val="tx1">
                <w14:lumMod w14:val="95000"/>
                <w14:lumOff w14:val="5000"/>
              </w14:schemeClr>
            </w14:solidFill>
          </w14:textFill>
        </w:rPr>
        <w:t>3</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、投标文件递交地点：南通市通州区</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水务有限公司</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，详细地址：南通市通州区</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希望路18号</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，投标文件递交的具体要求详见招标文件规定。</w:t>
      </w:r>
    </w:p>
    <w:p>
      <w:pPr>
        <w:pStyle w:val="48"/>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
          <w:color w:val="0D0D0D" w:themeColor="text1" w:themeTint="F2"/>
          <w:kern w:val="0"/>
          <w:sz w:val="24"/>
          <w:szCs w:val="24"/>
          <w:highlight w:val="none"/>
          <w14:textFill>
            <w14:solidFill>
              <w14:schemeClr w14:val="tx1">
                <w14:lumMod w14:val="95000"/>
                <w14:lumOff w14:val="5000"/>
              </w14:schemeClr>
            </w14:solidFill>
          </w14:textFill>
        </w:rPr>
        <w:t>4</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、逾期送达的或者未送达指定地点的投标文件，招标人不予受理。</w:t>
      </w:r>
    </w:p>
    <w:p>
      <w:pPr>
        <w:pStyle w:val="48"/>
        <w:keepNext w:val="0"/>
        <w:keepLines w:val="0"/>
        <w:pageBreakBefore w:val="0"/>
        <w:widowControl/>
        <w:kinsoku/>
        <w:wordWrap/>
        <w:overflowPunct/>
        <w:topLinePunct w:val="0"/>
        <w:autoSpaceDE/>
        <w:autoSpaceDN/>
        <w:bidi w:val="0"/>
        <w:adjustRightInd/>
        <w:snapToGrid/>
        <w:spacing w:line="360" w:lineRule="auto"/>
        <w:ind w:firstLine="480"/>
        <w:jc w:val="left"/>
        <w:textAlignment w:val="auto"/>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
          <w:color w:val="0D0D0D" w:themeColor="text1" w:themeTint="F2"/>
          <w:kern w:val="0"/>
          <w:sz w:val="24"/>
          <w:szCs w:val="24"/>
          <w:highlight w:val="none"/>
          <w14:textFill>
            <w14:solidFill>
              <w14:schemeClr w14:val="tx1">
                <w14:lumMod w14:val="95000"/>
                <w14:lumOff w14:val="5000"/>
              </w14:schemeClr>
            </w14:solidFill>
          </w14:textFill>
        </w:rPr>
        <w:t>5</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、网上下载的招标公告、招标文件、招标答疑等招标资料，与纸质资料具有同等法律效力。</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七</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、本项目的评标办法：</w:t>
      </w:r>
      <w:r>
        <w:rPr>
          <w:rFonts w:hint="eastAsia"/>
          <w:sz w:val="24"/>
          <w:highlight w:val="none"/>
        </w:rPr>
        <w:t>最低投标价中标</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具体详见招标文件</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八</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、本项目投标保证金：</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人民币</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1500</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元（现金）。</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
          <w:b/>
          <w:b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九</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、开标时间为：</w:t>
      </w:r>
      <w:r>
        <w:rPr>
          <w:rFonts w:hint="eastAsia" w:cs="宋体"/>
          <w:b/>
          <w:color w:val="000000"/>
          <w:sz w:val="24"/>
          <w:highlight w:val="none"/>
          <w:lang w:eastAsia="zh-CN"/>
        </w:rPr>
        <w:t>2024</w:t>
      </w:r>
      <w:r>
        <w:rPr>
          <w:rFonts w:hint="eastAsia" w:cs="宋体"/>
          <w:b/>
          <w:color w:val="000000"/>
          <w:sz w:val="24"/>
          <w:highlight w:val="none"/>
        </w:rPr>
        <w:t>年</w:t>
      </w:r>
      <w:r>
        <w:rPr>
          <w:rFonts w:hint="eastAsia" w:cs="宋体"/>
          <w:b/>
          <w:color w:val="000000"/>
          <w:sz w:val="24"/>
          <w:highlight w:val="none"/>
          <w:lang w:val="en-US" w:eastAsia="zh-CN"/>
        </w:rPr>
        <w:t>4</w:t>
      </w:r>
      <w:r>
        <w:rPr>
          <w:rFonts w:cs="宋体"/>
          <w:b/>
          <w:color w:val="000000"/>
          <w:sz w:val="24"/>
          <w:highlight w:val="none"/>
        </w:rPr>
        <w:t>月</w:t>
      </w:r>
      <w:r>
        <w:rPr>
          <w:rFonts w:hint="eastAsia" w:cs="宋体"/>
          <w:b/>
          <w:color w:val="000000"/>
          <w:sz w:val="24"/>
          <w:highlight w:val="none"/>
          <w:lang w:val="en-US" w:eastAsia="zh-CN"/>
        </w:rPr>
        <w:t>15</w:t>
      </w:r>
      <w:r>
        <w:rPr>
          <w:rFonts w:cs="宋体"/>
          <w:b/>
          <w:color w:val="000000"/>
          <w:sz w:val="24"/>
          <w:highlight w:val="none"/>
        </w:rPr>
        <w:t>日</w:t>
      </w:r>
      <w:r>
        <w:rPr>
          <w:rFonts w:hint="eastAsia" w:cs="宋体"/>
          <w:b/>
          <w:color w:val="000000"/>
          <w:sz w:val="24"/>
          <w:highlight w:val="none"/>
          <w:lang w:val="en-US" w:eastAsia="zh-CN"/>
        </w:rPr>
        <w:t>9</w:t>
      </w:r>
      <w:r>
        <w:rPr>
          <w:rFonts w:hint="eastAsia" w:cs="宋体"/>
          <w:b/>
          <w:color w:val="000000"/>
          <w:sz w:val="24"/>
          <w:highlight w:val="none"/>
          <w:lang w:eastAsia="zh-CN"/>
        </w:rPr>
        <w:t>：</w:t>
      </w:r>
      <w:r>
        <w:rPr>
          <w:rFonts w:hint="eastAsia" w:cs="宋体"/>
          <w:b/>
          <w:color w:val="000000"/>
          <w:sz w:val="24"/>
          <w:highlight w:val="none"/>
          <w:lang w:val="en-US" w:eastAsia="zh-CN"/>
        </w:rPr>
        <w:t>3</w:t>
      </w:r>
      <w:r>
        <w:rPr>
          <w:rFonts w:hint="eastAsia" w:cs="宋体"/>
          <w:b/>
          <w:color w:val="000000"/>
          <w:sz w:val="24"/>
          <w:highlight w:val="none"/>
        </w:rPr>
        <w:t>0</w:t>
      </w:r>
      <w:r>
        <w:rPr>
          <w:rFonts w:hint="eastAsia" w:ascii="??" w:hAnsi="??" w:cs="??"/>
          <w:b/>
          <w:bCs/>
          <w:color w:val="0D0D0D" w:themeColor="text1" w:themeTint="F2"/>
          <w:kern w:val="0"/>
          <w:sz w:val="24"/>
          <w:szCs w:val="24"/>
          <w:highlight w:val="none"/>
          <w14:textFill>
            <w14:solidFill>
              <w14:schemeClr w14:val="tx1">
                <w14:lumMod w14:val="95000"/>
                <w14:lumOff w14:val="5000"/>
              </w14:schemeClr>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 w:hAnsi="??" w:cs="宋体"/>
          <w:b/>
          <w:bCs/>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十、本公告发布时间：</w:t>
      </w:r>
      <w:r>
        <w:rPr>
          <w:rFonts w:hint="eastAsia" w:ascii="??" w:hAnsi="??" w:cs="??"/>
          <w:b/>
          <w:bCs/>
          <w:color w:val="0D0D0D" w:themeColor="text1" w:themeTint="F2"/>
          <w:kern w:val="0"/>
          <w:sz w:val="24"/>
          <w:szCs w:val="24"/>
          <w:highlight w:val="none"/>
          <w:lang w:eastAsia="zh-CN"/>
          <w14:textFill>
            <w14:solidFill>
              <w14:schemeClr w14:val="tx1">
                <w14:lumMod w14:val="95000"/>
                <w14:lumOff w14:val="5000"/>
              </w14:schemeClr>
            </w14:solidFill>
          </w14:textFill>
        </w:rPr>
        <w:t>2024</w:t>
      </w:r>
      <w:r>
        <w:rPr>
          <w:rFonts w:hint="eastAsia" w:ascii="??" w:hAnsi="??" w:cs="??"/>
          <w:b/>
          <w:bCs/>
          <w:color w:val="0D0D0D" w:themeColor="text1" w:themeTint="F2"/>
          <w:kern w:val="0"/>
          <w:sz w:val="24"/>
          <w:szCs w:val="24"/>
          <w:highlight w:val="none"/>
          <w14:textFill>
            <w14:solidFill>
              <w14:schemeClr w14:val="tx1">
                <w14:lumMod w14:val="95000"/>
                <w14:lumOff w14:val="5000"/>
              </w14:schemeClr>
            </w14:solidFill>
          </w14:textFill>
        </w:rPr>
        <w:t>年</w:t>
      </w:r>
      <w:r>
        <w:rPr>
          <w:rFonts w:hint="eastAsia" w:ascii="??" w:hAnsi="??" w:cs="??"/>
          <w:b/>
          <w:bCs/>
          <w:color w:val="0D0D0D" w:themeColor="text1" w:themeTint="F2"/>
          <w:kern w:val="0"/>
          <w:sz w:val="24"/>
          <w:szCs w:val="24"/>
          <w:highlight w:val="none"/>
          <w:lang w:val="en-US" w:eastAsia="zh-CN"/>
          <w14:textFill>
            <w14:solidFill>
              <w14:schemeClr w14:val="tx1">
                <w14:lumMod w14:val="95000"/>
                <w14:lumOff w14:val="5000"/>
              </w14:schemeClr>
            </w14:solidFill>
          </w14:textFill>
        </w:rPr>
        <w:t>4月3</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日</w:t>
      </w:r>
      <w:r>
        <w:rPr>
          <w:rFonts w:ascii="??" w:hAnsi="??" w:cs="??"/>
          <w:b/>
          <w:bCs/>
          <w:color w:val="0D0D0D" w:themeColor="text1" w:themeTint="F2"/>
          <w:kern w:val="0"/>
          <w:sz w:val="24"/>
          <w:szCs w:val="24"/>
          <w:highlight w:val="none"/>
          <w14:textFill>
            <w14:solidFill>
              <w14:schemeClr w14:val="tx1">
                <w14:lumMod w14:val="95000"/>
                <w14:lumOff w14:val="5000"/>
              </w14:schemeClr>
            </w14:solidFill>
          </w14:textFill>
        </w:rPr>
        <w:t>-</w:t>
      </w:r>
      <w:r>
        <w:rPr>
          <w:rFonts w:hint="eastAsia" w:ascii="??" w:hAnsi="??" w:cs="??"/>
          <w:b/>
          <w:bCs/>
          <w:color w:val="0D0D0D" w:themeColor="text1" w:themeTint="F2"/>
          <w:kern w:val="0"/>
          <w:sz w:val="24"/>
          <w:szCs w:val="24"/>
          <w:highlight w:val="none"/>
          <w:lang w:eastAsia="zh-CN"/>
          <w14:textFill>
            <w14:solidFill>
              <w14:schemeClr w14:val="tx1">
                <w14:lumMod w14:val="95000"/>
                <w14:lumOff w14:val="5000"/>
              </w14:schemeClr>
            </w14:solidFill>
          </w14:textFill>
        </w:rPr>
        <w:t>2024</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年</w:t>
      </w: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4</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月</w:t>
      </w: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15</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日</w:t>
      </w: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9</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w:t>
      </w: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3</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0。</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rFonts w:ascii="??" w:hAnsi="??" w:cs="??"/>
          <w:b/>
          <w:bCs/>
          <w:color w:val="0D0D0D" w:themeColor="text1" w:themeTint="F2"/>
          <w:kern w:val="0"/>
          <w:highlight w:val="none"/>
          <w14:textFill>
            <w14:solidFill>
              <w14:schemeClr w14:val="tx1">
                <w14:lumMod w14:val="95000"/>
                <w14:lumOff w14:val="5000"/>
              </w14:schemeClr>
            </w14:solidFill>
          </w14:textFill>
        </w:rPr>
      </w:pPr>
      <w:r>
        <w:rPr>
          <w:rFonts w:hint="eastAsia" w:ascii="??" w:hAnsi="??" w:cs="宋体"/>
          <w:b/>
          <w:bCs/>
          <w:color w:val="0D0D0D" w:themeColor="text1" w:themeTint="F2"/>
          <w:kern w:val="0"/>
          <w:sz w:val="24"/>
          <w:szCs w:val="24"/>
          <w:highlight w:val="none"/>
          <w:lang w:val="en-US" w:eastAsia="zh-CN"/>
          <w14:textFill>
            <w14:solidFill>
              <w14:schemeClr w14:val="tx1">
                <w14:lumMod w14:val="95000"/>
                <w14:lumOff w14:val="5000"/>
              </w14:schemeClr>
            </w14:solidFill>
          </w14:textFill>
        </w:rPr>
        <w:t>十一</w:t>
      </w:r>
      <w:r>
        <w:rPr>
          <w:rFonts w:hint="eastAsia" w:ascii="??" w:hAnsi="??" w:cs="宋体"/>
          <w:b/>
          <w:bCs/>
          <w:color w:val="0D0D0D" w:themeColor="text1" w:themeTint="F2"/>
          <w:kern w:val="0"/>
          <w:sz w:val="24"/>
          <w:szCs w:val="24"/>
          <w:highlight w:val="none"/>
          <w14:textFill>
            <w14:solidFill>
              <w14:schemeClr w14:val="tx1">
                <w14:lumMod w14:val="95000"/>
                <w14:lumOff w14:val="5000"/>
              </w14:schemeClr>
            </w14:solidFill>
          </w14:textFill>
        </w:rPr>
        <w:t>、联系方式</w:t>
      </w:r>
    </w:p>
    <w:tbl>
      <w:tblPr>
        <w:tblStyle w:val="20"/>
        <w:tblW w:w="4904" w:type="dxa"/>
        <w:jc w:val="center"/>
        <w:tblCellSpacing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9"/>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tblCellSpacing w:w="20" w:type="dxa"/>
          <w:jc w:val="center"/>
        </w:trPr>
        <w:tc>
          <w:tcPr>
            <w:tcW w:w="899"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highlight w:val="none"/>
              </w:rPr>
            </w:pPr>
            <w:r>
              <w:rPr>
                <w:rFonts w:hint="eastAsia" w:ascii="??" w:hAnsi="??" w:cs="宋体"/>
                <w:kern w:val="0"/>
                <w:sz w:val="24"/>
                <w:szCs w:val="24"/>
                <w:highlight w:val="none"/>
              </w:rPr>
              <w:t>招标人：</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highlight w:val="none"/>
              </w:rPr>
            </w:pPr>
            <w:r>
              <w:rPr>
                <w:rFonts w:hint="eastAsia" w:ascii="??" w:hAnsi="??" w:cs="宋体"/>
                <w:kern w:val="0"/>
                <w:sz w:val="24"/>
                <w:szCs w:val="24"/>
                <w:highlight w:val="none"/>
              </w:rPr>
              <w:t>南通市通州区水务有限公司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blCellSpacing w:w="20" w:type="dxa"/>
          <w:jc w:val="center"/>
        </w:trPr>
        <w:tc>
          <w:tcPr>
            <w:tcW w:w="899"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highlight w:val="none"/>
              </w:rPr>
            </w:pPr>
            <w:r>
              <w:rPr>
                <w:rFonts w:hint="eastAsia" w:ascii="??" w:hAnsi="??" w:cs="宋体"/>
                <w:kern w:val="0"/>
                <w:sz w:val="24"/>
                <w:szCs w:val="24"/>
                <w:highlight w:val="none"/>
              </w:rPr>
              <w:t>地址：</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highlight w:val="none"/>
              </w:rPr>
            </w:pPr>
            <w:r>
              <w:rPr>
                <w:rFonts w:hint="eastAsia" w:ascii="??" w:hAnsi="??" w:cs="宋体"/>
                <w:kern w:val="0"/>
                <w:sz w:val="24"/>
                <w:szCs w:val="24"/>
                <w:highlight w:val="none"/>
              </w:rPr>
              <w:t>南通市通州区银河桥下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tblCellSpacing w:w="20" w:type="dxa"/>
          <w:jc w:val="center"/>
        </w:trPr>
        <w:tc>
          <w:tcPr>
            <w:tcW w:w="899"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highlight w:val="none"/>
              </w:rPr>
            </w:pPr>
            <w:r>
              <w:rPr>
                <w:rFonts w:hint="eastAsia" w:ascii="??" w:hAnsi="??" w:cs="宋体"/>
                <w:kern w:val="0"/>
                <w:sz w:val="24"/>
                <w:szCs w:val="24"/>
                <w:highlight w:val="none"/>
              </w:rPr>
              <w:t>联系人：</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 w:hAnsi="??" w:eastAsia="宋体" w:cs="??"/>
                <w:kern w:val="0"/>
                <w:highlight w:val="none"/>
                <w:lang w:val="en-US" w:eastAsia="zh-CN"/>
              </w:rPr>
            </w:pPr>
            <w:r>
              <w:rPr>
                <w:rFonts w:hint="eastAsia" w:ascii="??" w:hAnsi="??" w:cs="??"/>
                <w:kern w:val="0"/>
                <w:highlight w:val="none"/>
                <w:lang w:val="en-US" w:eastAsia="zh-CN"/>
              </w:rPr>
              <w:t>瞿先生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20" w:type="dxa"/>
          <w:jc w:val="center"/>
        </w:trPr>
        <w:tc>
          <w:tcPr>
            <w:tcW w:w="899"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 w:hAnsi="??" w:cs="??"/>
                <w:kern w:val="0"/>
                <w:sz w:val="24"/>
                <w:szCs w:val="24"/>
                <w:highlight w:val="none"/>
              </w:rPr>
            </w:pPr>
            <w:r>
              <w:rPr>
                <w:rFonts w:hint="eastAsia" w:ascii="??" w:hAnsi="??" w:cs="宋体"/>
                <w:kern w:val="0"/>
                <w:sz w:val="24"/>
                <w:szCs w:val="24"/>
                <w:highlight w:val="none"/>
              </w:rPr>
              <w:t>电</w:t>
            </w:r>
            <w:r>
              <w:rPr>
                <w:rFonts w:ascii="??" w:hAnsi="??" w:cs="??"/>
                <w:kern w:val="0"/>
                <w:sz w:val="24"/>
                <w:szCs w:val="24"/>
                <w:highlight w:val="none"/>
              </w:rPr>
              <w:t>  </w:t>
            </w:r>
            <w:r>
              <w:rPr>
                <w:rFonts w:hint="eastAsia" w:ascii="??" w:hAnsi="??" w:cs="宋体"/>
                <w:kern w:val="0"/>
                <w:sz w:val="24"/>
                <w:szCs w:val="24"/>
                <w:highlight w:val="none"/>
              </w:rPr>
              <w:t>话：</w:t>
            </w:r>
          </w:p>
        </w:tc>
        <w:tc>
          <w:tcPr>
            <w:tcW w:w="3885" w:type="dxa"/>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 w:hAnsi="??" w:eastAsia="宋体" w:cs="??"/>
                <w:kern w:val="0"/>
                <w:sz w:val="24"/>
                <w:szCs w:val="24"/>
                <w:highlight w:val="none"/>
                <w:lang w:val="en-US" w:eastAsia="zh-CN"/>
              </w:rPr>
            </w:pPr>
            <w:r>
              <w:rPr>
                <w:rFonts w:ascii="??" w:hAnsi="??" w:cs="??"/>
                <w:kern w:val="0"/>
                <w:sz w:val="24"/>
                <w:szCs w:val="24"/>
                <w:highlight w:val="none"/>
              </w:rPr>
              <w:t>0513-</w:t>
            </w:r>
            <w:r>
              <w:rPr>
                <w:rFonts w:hint="eastAsia" w:ascii="??" w:hAnsi="??" w:cs="??"/>
                <w:kern w:val="0"/>
                <w:sz w:val="24"/>
                <w:szCs w:val="24"/>
                <w:highlight w:val="none"/>
                <w:lang w:val="en-US" w:eastAsia="zh-CN"/>
              </w:rPr>
              <w:t>86119037</w:t>
            </w:r>
          </w:p>
        </w:tc>
      </w:tr>
    </w:tbl>
    <w:p>
      <w:pPr>
        <w:keepNext w:val="0"/>
        <w:keepLines w:val="0"/>
        <w:pageBreakBefore w:val="0"/>
        <w:widowControl/>
        <w:kinsoku/>
        <w:wordWrap/>
        <w:overflowPunct/>
        <w:topLinePunct w:val="0"/>
        <w:autoSpaceDE/>
        <w:autoSpaceDN/>
        <w:bidi w:val="0"/>
        <w:adjustRightInd/>
        <w:snapToGrid/>
        <w:spacing w:line="360" w:lineRule="auto"/>
        <w:ind w:firstLine="4320" w:firstLineChars="1800"/>
        <w:jc w:val="left"/>
        <w:textAlignment w:val="auto"/>
        <w:rPr>
          <w:rFonts w:ascii="??" w:hAnsi="??" w:cs="宋体"/>
          <w:color w:val="0D0D0D" w:themeColor="text1" w:themeTint="F2"/>
          <w:kern w:val="0"/>
          <w:sz w:val="24"/>
          <w:szCs w:val="24"/>
          <w:highlight w:val="none"/>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autoSpaceDN/>
        <w:bidi w:val="0"/>
        <w:adjustRightInd/>
        <w:snapToGrid/>
        <w:spacing w:line="360" w:lineRule="auto"/>
        <w:ind w:firstLine="6840" w:firstLineChars="2850"/>
        <w:jc w:val="left"/>
        <w:textAlignment w:val="auto"/>
        <w:rPr>
          <w:rFonts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
          <w:color w:val="0D0D0D" w:themeColor="text1" w:themeTint="F2"/>
          <w:kern w:val="0"/>
          <w:sz w:val="24"/>
          <w:szCs w:val="24"/>
          <w:highlight w:val="none"/>
          <w:lang w:eastAsia="zh-CN"/>
          <w14:textFill>
            <w14:solidFill>
              <w14:schemeClr w14:val="tx1">
                <w14:lumMod w14:val="95000"/>
                <w14:lumOff w14:val="5000"/>
              </w14:schemeClr>
            </w14:solidFill>
          </w14:textFill>
        </w:rPr>
        <w:t>2024</w:t>
      </w:r>
      <w:r>
        <w:rPr>
          <w:rFonts w:hint="eastAsia" w:ascii="??" w:hAnsi="??" w:cs="??"/>
          <w:color w:val="0D0D0D" w:themeColor="text1" w:themeTint="F2"/>
          <w:kern w:val="0"/>
          <w:sz w:val="24"/>
          <w:szCs w:val="24"/>
          <w:highlight w:val="none"/>
          <w14:textFill>
            <w14:solidFill>
              <w14:schemeClr w14:val="tx1">
                <w14:lumMod w14:val="95000"/>
                <w14:lumOff w14:val="5000"/>
              </w14:schemeClr>
            </w14:solidFill>
          </w14:textFill>
        </w:rPr>
        <w:t>年</w:t>
      </w:r>
      <w:r>
        <w:rPr>
          <w:rFonts w:hint="eastAsia" w:ascii="??" w:hAnsi="??" w:cs="??"/>
          <w:color w:val="0D0D0D" w:themeColor="text1" w:themeTint="F2"/>
          <w:kern w:val="0"/>
          <w:sz w:val="24"/>
          <w:szCs w:val="24"/>
          <w:highlight w:val="none"/>
          <w:lang w:val="en-US" w:eastAsia="zh-CN"/>
          <w14:textFill>
            <w14:solidFill>
              <w14:schemeClr w14:val="tx1">
                <w14:lumMod w14:val="95000"/>
                <w14:lumOff w14:val="5000"/>
              </w14:schemeClr>
            </w14:solidFill>
          </w14:textFill>
        </w:rPr>
        <w:t>4月3</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日</w:t>
      </w:r>
      <w:bookmarkEnd w:id="0"/>
      <w:bookmarkEnd w:id="1"/>
      <w:bookmarkEnd w:id="2"/>
      <w:bookmarkEnd w:id="3"/>
      <w:bookmarkEnd w:id="4"/>
      <w:bookmarkEnd w:id="5"/>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pStyle w:val="2"/>
        <w:rPr>
          <w:rFonts w:hint="eastAsia"/>
        </w:rPr>
      </w:pPr>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360" w:lineRule="auto"/>
        <w:ind w:left="1970"/>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360" w:lineRule="auto"/>
        <w:ind w:left="1970"/>
        <w:rPr>
          <w:rFonts w:ascii="宋体" w:cs="宋体"/>
          <w:b/>
          <w:bCs/>
          <w:color w:val="0D0D0D" w:themeColor="text1" w:themeTint="F2"/>
          <w:sz w:val="36"/>
          <w:szCs w:val="36"/>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t>第二章　投标须知及投标须知前附表</w:t>
      </w:r>
    </w:p>
    <w:p>
      <w:pPr>
        <w:spacing w:line="360" w:lineRule="auto"/>
        <w:ind w:firstLine="1970" w:firstLineChars="545"/>
        <w:jc w:val="center"/>
        <w:rPr>
          <w:rFonts w:ascii="宋体" w:cs="宋体"/>
          <w:b/>
          <w:bCs/>
          <w:color w:val="0D0D0D" w:themeColor="text1" w:themeTint="F2"/>
          <w:sz w:val="36"/>
          <w:szCs w:val="36"/>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t>前附表</w:t>
      </w:r>
    </w:p>
    <w:tbl>
      <w:tblPr>
        <w:tblStyle w:val="20"/>
        <w:tblW w:w="95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15"/>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序号</w:t>
            </w:r>
          </w:p>
        </w:tc>
        <w:tc>
          <w:tcPr>
            <w:tcW w:w="1915" w:type="dxa"/>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内容</w:t>
            </w:r>
          </w:p>
        </w:tc>
        <w:tc>
          <w:tcPr>
            <w:tcW w:w="6905" w:type="dxa"/>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p>
        </w:tc>
        <w:tc>
          <w:tcPr>
            <w:tcW w:w="1915" w:type="dxa"/>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项目名称</w:t>
            </w:r>
          </w:p>
        </w:tc>
        <w:tc>
          <w:tcPr>
            <w:tcW w:w="6905" w:type="dxa"/>
            <w:vAlign w:val="center"/>
          </w:tcPr>
          <w:p>
            <w:pPr>
              <w:jc w:val="left"/>
              <w:rPr>
                <w:rFonts w:ascii="宋体" w:hAnsi="宋体"/>
                <w:bCs/>
                <w:color w:val="000000"/>
                <w:sz w:val="24"/>
                <w:szCs w:val="24"/>
                <w:highlight w:val="none"/>
              </w:rPr>
            </w:pPr>
            <w:r>
              <w:rPr>
                <w:rFonts w:hint="eastAsia" w:ascii="宋体" w:hAnsi="宋体"/>
                <w:bCs/>
                <w:color w:val="000000"/>
                <w:sz w:val="24"/>
                <w:szCs w:val="24"/>
                <w:highlight w:val="none"/>
                <w:lang w:val="en-US" w:eastAsia="zh-CN"/>
              </w:rPr>
              <w:t>南通市通州区水务有限公司泵站补氯装置采购项目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p>
        </w:tc>
        <w:tc>
          <w:tcPr>
            <w:tcW w:w="1915" w:type="dxa"/>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项目地点</w:t>
            </w:r>
          </w:p>
        </w:tc>
        <w:tc>
          <w:tcPr>
            <w:tcW w:w="6905" w:type="dxa"/>
          </w:tcPr>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bCs/>
                <w:color w:val="000000"/>
                <w:sz w:val="24"/>
                <w:szCs w:val="24"/>
                <w:highlight w:val="none"/>
              </w:rPr>
              <w:t>南通市通州区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color w:val="0D0D0D" w:themeColor="text1" w:themeTint="F2"/>
                <w:sz w:val="24"/>
                <w:szCs w:val="24"/>
                <w:highlight w:val="none"/>
                <w14:textFill>
                  <w14:solidFill>
                    <w14:schemeClr w14:val="tx1">
                      <w14:lumMod w14:val="95000"/>
                      <w14:lumOff w14:val="5000"/>
                    </w14:schemeClr>
                  </w14:solidFill>
                </w14:textFill>
              </w:rPr>
              <w:t>项目需求</w:t>
            </w:r>
          </w:p>
        </w:tc>
        <w:tc>
          <w:tcPr>
            <w:tcW w:w="6905" w:type="dxa"/>
            <w:vAlign w:val="center"/>
          </w:tcPr>
          <w:p>
            <w:pPr>
              <w:spacing w:line="360" w:lineRule="auto"/>
              <w:rPr>
                <w:color w:val="0D0D0D" w:themeColor="text1" w:themeTint="F2"/>
                <w:sz w:val="24"/>
                <w:szCs w:val="24"/>
                <w:highlight w:val="none"/>
                <w14:textFill>
                  <w14:solidFill>
                    <w14:schemeClr w14:val="tx1">
                      <w14:lumMod w14:val="95000"/>
                      <w14:lumOff w14:val="5000"/>
                    </w14:schemeClr>
                  </w14:solidFill>
                </w14:textFill>
              </w:rPr>
            </w:pPr>
            <w:r>
              <w:rPr>
                <w:rFonts w:hint="eastAsia"/>
                <w:color w:val="0D0D0D" w:themeColor="text1" w:themeTint="F2"/>
                <w:sz w:val="24"/>
                <w:szCs w:val="24"/>
                <w:highlight w:val="none"/>
                <w14:textFill>
                  <w14:solidFill>
                    <w14:schemeClr w14:val="tx1">
                      <w14:lumMod w14:val="95000"/>
                      <w14:lumOff w14:val="5000"/>
                    </w14:schemeClr>
                  </w14:solidFill>
                </w14:textFill>
              </w:rPr>
              <w:t>详见招标文件第六章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招标内容</w:t>
            </w:r>
          </w:p>
        </w:tc>
        <w:tc>
          <w:tcPr>
            <w:tcW w:w="6905" w:type="dxa"/>
          </w:tcPr>
          <w:p>
            <w:pPr>
              <w:spacing w:line="360" w:lineRule="auto"/>
              <w:jc w:val="left"/>
              <w:rPr>
                <w:rFonts w:hint="default" w:ascii="宋体" w:hAnsi="宋体" w:eastAsia="宋体" w:cs="宋体"/>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宋体" w:hAnsi="宋体" w:cs="宋体"/>
                <w:color w:val="000000"/>
                <w:kern w:val="0"/>
                <w:sz w:val="24"/>
                <w:highlight w:val="none"/>
                <w:lang w:val="en-US" w:eastAsia="zh-CN"/>
              </w:rPr>
              <w:t>泵站补氯装置采购，具体详见技术参数要求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5</w:t>
            </w:r>
          </w:p>
        </w:tc>
        <w:tc>
          <w:tcPr>
            <w:tcW w:w="1915" w:type="dxa"/>
            <w:vAlign w:val="center"/>
          </w:tcPr>
          <w:p>
            <w:pPr>
              <w:spacing w:line="360" w:lineRule="auto"/>
              <w:jc w:val="center"/>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投标报价方式</w:t>
            </w:r>
          </w:p>
        </w:tc>
        <w:tc>
          <w:tcPr>
            <w:tcW w:w="6905" w:type="dxa"/>
            <w:vAlign w:val="center"/>
          </w:tcPr>
          <w:p>
            <w:pPr>
              <w:spacing w:line="360" w:lineRule="auto"/>
              <w:jc w:val="lef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6</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资金来源</w:t>
            </w:r>
          </w:p>
        </w:tc>
        <w:tc>
          <w:tcPr>
            <w:tcW w:w="6905" w:type="dxa"/>
          </w:tcPr>
          <w:p>
            <w:pPr>
              <w:spacing w:line="360" w:lineRule="auto"/>
              <w:rPr>
                <w:rFonts w:ascii="宋体" w:cs="宋体"/>
                <w:sz w:val="24"/>
                <w:szCs w:val="24"/>
                <w:highlight w:val="none"/>
              </w:rPr>
            </w:pPr>
            <w:r>
              <w:rPr>
                <w:rFonts w:hint="eastAsia" w:ascii="宋体" w:hAnsi="宋体" w:cs="宋体"/>
                <w:sz w:val="24"/>
                <w:szCs w:val="24"/>
                <w:highlight w:val="none"/>
              </w:rPr>
              <w:t>公司自筹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7</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投标有效期</w:t>
            </w:r>
          </w:p>
        </w:tc>
        <w:tc>
          <w:tcPr>
            <w:tcW w:w="6905" w:type="dxa"/>
          </w:tcPr>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8</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投标保证金的递交</w:t>
            </w:r>
          </w:p>
        </w:tc>
        <w:tc>
          <w:tcPr>
            <w:tcW w:w="6905" w:type="dxa"/>
          </w:tcPr>
          <w:p>
            <w:pPr>
              <w:adjustRightInd w:val="0"/>
              <w:snapToGrid w:val="0"/>
              <w:spacing w:line="360" w:lineRule="auto"/>
              <w:rPr>
                <w:rFonts w:ascii="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投标人在递交投标文件的同时，应按规定的金额、形式递交投标保证金，并作为其投标文件的组成部分。</w:t>
            </w: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.本项目投标保证金数额为</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1500</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元整</w:t>
            </w:r>
            <w:r>
              <w:rPr>
                <w:rFonts w:hint="eastAsia" w:ascii="宋体" w:hAnsi="宋体"/>
                <w:color w:val="000000"/>
                <w:sz w:val="24"/>
                <w:highlight w:val="none"/>
              </w:rPr>
              <w:t>（现金）</w:t>
            </w:r>
            <w:r>
              <w:rPr>
                <w:rFonts w:hint="eastAsia" w:ascii="宋体" w:hAnsi="宋体"/>
                <w:b/>
                <w:snapToGrid w:val="0"/>
                <w:color w:val="000000"/>
                <w:kern w:val="0"/>
                <w:sz w:val="24"/>
                <w:szCs w:val="20"/>
                <w:highlight w:val="none"/>
              </w:rPr>
              <w:t>，未按规定提交投标保证金的投标文件，招标人将按不符合性投标而予以拒绝。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9" w:type="dxa"/>
            <w:vAlign w:val="center"/>
          </w:tcPr>
          <w:p>
            <w:pPr>
              <w:spacing w:line="360" w:lineRule="auto"/>
              <w:jc w:val="center"/>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9</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投标保证金的退还</w:t>
            </w:r>
          </w:p>
        </w:tc>
        <w:tc>
          <w:tcPr>
            <w:tcW w:w="6905" w:type="dxa"/>
          </w:tcPr>
          <w:p>
            <w:pPr>
              <w:spacing w:line="360" w:lineRule="auto"/>
              <w:rPr>
                <w:rFonts w:ascii="宋体" w:hAnsi="宋体"/>
                <w:sz w:val="24"/>
                <w:highlight w:val="none"/>
              </w:rPr>
            </w:pPr>
            <w:r>
              <w:rPr>
                <w:rFonts w:hint="eastAsia" w:ascii="宋体" w:hAnsi="宋体"/>
                <w:sz w:val="24"/>
                <w:highlight w:val="none"/>
              </w:rPr>
              <w:t>1.未中标的投标人的投标保证金将现场退还（无息）。</w:t>
            </w:r>
          </w:p>
          <w:p>
            <w:pPr>
              <w:adjustRightInd w:val="0"/>
              <w:snapToGrid w:val="0"/>
              <w:spacing w:line="360" w:lineRule="auto"/>
              <w:rPr>
                <w:rFonts w:ascii="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sz w:val="24"/>
                <w:highlight w:val="none"/>
              </w:rPr>
              <w:t>2.中标人的投标保证金，在签署合同后无息退还。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10</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踏勘现场</w:t>
            </w:r>
          </w:p>
        </w:tc>
        <w:tc>
          <w:tcPr>
            <w:tcW w:w="6905" w:type="dxa"/>
          </w:tcPr>
          <w:p>
            <w:pPr>
              <w:spacing w:line="360" w:lineRule="auto"/>
              <w:rPr>
                <w:rFonts w:hint="default" w:ascii="宋体" w:eastAsia="宋体" w:cs="宋体"/>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踏勘现场由</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招标人统一</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组织</w:t>
            </w:r>
            <w:r>
              <w:rPr>
                <w:rFonts w:hint="eastAsia" w:ascii="宋体" w:hAnsi="宋体" w:cs="宋体"/>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2024年4月10日13：30在水务公司（通州区</w:t>
            </w:r>
            <w:r>
              <w:rPr>
                <w:rFonts w:hint="eastAsia" w:ascii="宋体" w:hAnsi="宋体"/>
                <w:sz w:val="24"/>
                <w:highlight w:val="none"/>
                <w:lang w:val="en-US" w:eastAsia="zh-CN"/>
              </w:rPr>
              <w:t>希望</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路18号）大门口集合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11</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投标文件份数</w:t>
            </w:r>
          </w:p>
        </w:tc>
        <w:tc>
          <w:tcPr>
            <w:tcW w:w="6905" w:type="dxa"/>
          </w:tcPr>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kern w:val="0"/>
                <w:sz w:val="24"/>
                <w:szCs w:val="24"/>
                <w:highlight w:val="none"/>
              </w:rPr>
              <w:t>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12</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投标文件递交地点及截止时间</w:t>
            </w:r>
          </w:p>
        </w:tc>
        <w:tc>
          <w:tcPr>
            <w:tcW w:w="6905" w:type="dxa"/>
          </w:tcPr>
          <w:p>
            <w:pPr>
              <w:spacing w:line="360" w:lineRule="auto"/>
              <w:rPr>
                <w:rFonts w:hint="eastAsia" w:ascii="宋体" w:hAnsi="宋体"/>
                <w:sz w:val="24"/>
                <w:highlight w:val="none"/>
              </w:rPr>
            </w:pPr>
            <w:r>
              <w:rPr>
                <w:rFonts w:hint="eastAsia" w:ascii="宋体" w:hAnsi="宋体"/>
                <w:sz w:val="24"/>
                <w:highlight w:val="none"/>
              </w:rPr>
              <w:t>投标文件递交截止时间：</w:t>
            </w:r>
            <w:r>
              <w:rPr>
                <w:rFonts w:hint="eastAsia" w:ascii="宋体" w:hAnsi="宋体"/>
                <w:sz w:val="24"/>
                <w:highlight w:val="none"/>
                <w:lang w:eastAsia="zh-CN"/>
              </w:rPr>
              <w:t>2024</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15</w:t>
            </w:r>
            <w:r>
              <w:rPr>
                <w:rFonts w:hint="eastAsia" w:ascii="宋体" w:hAnsi="宋体"/>
                <w:sz w:val="24"/>
                <w:highlight w:val="none"/>
              </w:rPr>
              <w:t>日</w:t>
            </w:r>
            <w:r>
              <w:rPr>
                <w:rFonts w:hint="eastAsia" w:ascii="宋体" w:hAnsi="宋体"/>
                <w:sz w:val="24"/>
                <w:highlight w:val="none"/>
                <w:lang w:val="en-US" w:eastAsia="zh-CN"/>
              </w:rPr>
              <w:t>9</w:t>
            </w:r>
            <w:r>
              <w:rPr>
                <w:rFonts w:hint="eastAsia" w:ascii="宋体" w:hAnsi="宋体"/>
                <w:sz w:val="24"/>
                <w:highlight w:val="none"/>
              </w:rPr>
              <w:t>时</w:t>
            </w:r>
            <w:r>
              <w:rPr>
                <w:rFonts w:hint="eastAsia" w:ascii="宋体" w:hAnsi="宋体"/>
                <w:sz w:val="24"/>
                <w:highlight w:val="none"/>
                <w:lang w:val="en-US" w:eastAsia="zh-CN"/>
              </w:rPr>
              <w:t>30</w:t>
            </w:r>
            <w:r>
              <w:rPr>
                <w:rFonts w:hint="eastAsia" w:ascii="宋体" w:hAnsi="宋体"/>
                <w:sz w:val="24"/>
                <w:highlight w:val="none"/>
              </w:rPr>
              <w:t>分</w:t>
            </w:r>
          </w:p>
          <w:p>
            <w:pPr>
              <w:spacing w:line="360" w:lineRule="auto"/>
              <w:rPr>
                <w:rFonts w:hint="default" w:ascii="宋体" w:hAnsi="宋体"/>
                <w:sz w:val="24"/>
                <w:highlight w:val="none"/>
                <w:lang w:val="en-US" w:eastAsia="zh-CN"/>
              </w:rPr>
            </w:pPr>
            <w:r>
              <w:rPr>
                <w:rFonts w:hint="eastAsia" w:ascii="宋体" w:hAnsi="宋体"/>
                <w:sz w:val="24"/>
                <w:highlight w:val="none"/>
              </w:rPr>
              <w:t>提交地点：南通市通州区</w:t>
            </w:r>
            <w:r>
              <w:rPr>
                <w:rFonts w:hint="eastAsia" w:ascii="宋体" w:hAnsi="宋体"/>
                <w:sz w:val="24"/>
                <w:highlight w:val="none"/>
                <w:lang w:val="en-US" w:eastAsia="zh-CN"/>
              </w:rPr>
              <w:t>水务有限公司三楼东会议室</w:t>
            </w:r>
          </w:p>
          <w:p>
            <w:pPr>
              <w:spacing w:line="360" w:lineRule="auto"/>
              <w:rPr>
                <w:rFonts w:hint="default"/>
                <w:highlight w:val="none"/>
                <w:lang w:val="en-US" w:eastAsia="zh-CN"/>
              </w:rPr>
            </w:pPr>
            <w:r>
              <w:rPr>
                <w:rFonts w:hint="eastAsia" w:ascii="宋体" w:hAnsi="宋体"/>
                <w:sz w:val="24"/>
                <w:highlight w:val="none"/>
                <w:lang w:val="en-US" w:eastAsia="zh-CN"/>
              </w:rPr>
              <w:t>南通市通州区希望路18号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13</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开标时间</w:t>
            </w:r>
          </w:p>
        </w:tc>
        <w:tc>
          <w:tcPr>
            <w:tcW w:w="6905" w:type="dxa"/>
          </w:tcPr>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开标时间：</w:t>
            </w:r>
            <w:r>
              <w:rPr>
                <w:rFonts w:hint="eastAsia" w:ascii="宋体" w:hAnsi="宋体" w:cs="宋体"/>
                <w:b/>
                <w:bCs/>
                <w:color w:val="0D0D0D" w:themeColor="text1" w:themeTint="F2"/>
                <w:sz w:val="24"/>
                <w:szCs w:val="24"/>
                <w:highlight w:val="none"/>
                <w:lang w:eastAsia="zh-CN"/>
                <w14:textFill>
                  <w14:solidFill>
                    <w14:schemeClr w14:val="tx1">
                      <w14:lumMod w14:val="95000"/>
                      <w14:lumOff w14:val="5000"/>
                    </w14:schemeClr>
                  </w14:solidFill>
                </w14:textFill>
              </w:rPr>
              <w:t>2024</w:t>
            </w:r>
            <w:r>
              <w:rPr>
                <w:rFonts w:hint="eastAsia" w:ascii="宋体" w:hAnsi="宋体" w:cs="宋体"/>
                <w:b/>
                <w:bCs/>
                <w:color w:val="0D0D0D" w:themeColor="text1" w:themeTint="F2"/>
                <w:sz w:val="24"/>
                <w:szCs w:val="24"/>
                <w:highlight w:val="none"/>
                <w14:textFill>
                  <w14:solidFill>
                    <w14:schemeClr w14:val="tx1">
                      <w14:lumMod w14:val="95000"/>
                      <w14:lumOff w14:val="5000"/>
                    </w14:schemeClr>
                  </w14:solidFill>
                </w14:textFill>
              </w:rPr>
              <w:t>年</w:t>
            </w:r>
            <w:r>
              <w:rPr>
                <w:rFonts w:hint="eastAsia" w:ascii="宋体" w:hAnsi="宋体" w:cs="宋体"/>
                <w:b/>
                <w:bCs/>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宋体" w:hAnsi="宋体" w:cs="宋体"/>
                <w:b/>
                <w:bCs/>
                <w:color w:val="0D0D0D" w:themeColor="text1" w:themeTint="F2"/>
                <w:sz w:val="24"/>
                <w:szCs w:val="24"/>
                <w:highlight w:val="none"/>
                <w14:textFill>
                  <w14:solidFill>
                    <w14:schemeClr w14:val="tx1">
                      <w14:lumMod w14:val="95000"/>
                      <w14:lumOff w14:val="5000"/>
                    </w14:schemeClr>
                  </w14:solidFill>
                </w14:textFill>
              </w:rPr>
              <w:t>月</w:t>
            </w:r>
            <w:r>
              <w:rPr>
                <w:rFonts w:hint="eastAsia" w:ascii="宋体" w:hAnsi="宋体" w:cs="宋体"/>
                <w:b/>
                <w:bCs/>
                <w:color w:val="0D0D0D" w:themeColor="text1" w:themeTint="F2"/>
                <w:sz w:val="24"/>
                <w:szCs w:val="24"/>
                <w:highlight w:val="none"/>
                <w:lang w:val="en-US" w:eastAsia="zh-CN"/>
                <w14:textFill>
                  <w14:solidFill>
                    <w14:schemeClr w14:val="tx1">
                      <w14:lumMod w14:val="95000"/>
                      <w14:lumOff w14:val="5000"/>
                    </w14:schemeClr>
                  </w14:solidFill>
                </w14:textFill>
              </w:rPr>
              <w:t>15</w:t>
            </w:r>
            <w:r>
              <w:rPr>
                <w:rFonts w:hint="eastAsia" w:ascii="宋体" w:hAnsi="宋体" w:cs="宋体"/>
                <w:b/>
                <w:bCs/>
                <w:color w:val="0D0D0D" w:themeColor="text1" w:themeTint="F2"/>
                <w:sz w:val="24"/>
                <w:szCs w:val="24"/>
                <w:highlight w:val="none"/>
                <w14:textFill>
                  <w14:solidFill>
                    <w14:schemeClr w14:val="tx1">
                      <w14:lumMod w14:val="95000"/>
                      <w14:lumOff w14:val="5000"/>
                    </w14:schemeClr>
                  </w14:solidFill>
                </w14:textFill>
              </w:rPr>
              <w:t>日</w:t>
            </w:r>
            <w:r>
              <w:rPr>
                <w:rFonts w:hint="eastAsia" w:ascii="宋体" w:hAnsi="宋体" w:cs="宋体"/>
                <w:b/>
                <w:bCs/>
                <w:color w:val="0D0D0D" w:themeColor="text1" w:themeTint="F2"/>
                <w:sz w:val="24"/>
                <w:szCs w:val="24"/>
                <w:highlight w:val="none"/>
                <w:lang w:val="en-US" w:eastAsia="zh-CN"/>
                <w14:textFill>
                  <w14:solidFill>
                    <w14:schemeClr w14:val="tx1">
                      <w14:lumMod w14:val="95000"/>
                      <w14:lumOff w14:val="5000"/>
                    </w14:schemeClr>
                  </w14:solidFill>
                </w14:textFill>
              </w:rPr>
              <w:t>9</w:t>
            </w:r>
            <w:r>
              <w:rPr>
                <w:rFonts w:hint="eastAsia" w:ascii="宋体" w:hAnsi="宋体" w:cs="宋体"/>
                <w:b/>
                <w:bCs/>
                <w:color w:val="0D0D0D" w:themeColor="text1" w:themeTint="F2"/>
                <w:sz w:val="24"/>
                <w:szCs w:val="24"/>
                <w:highlight w:val="none"/>
                <w14:textFill>
                  <w14:solidFill>
                    <w14:schemeClr w14:val="tx1">
                      <w14:lumMod w14:val="95000"/>
                      <w14:lumOff w14:val="5000"/>
                    </w14:schemeClr>
                  </w14:solidFill>
                </w14:textFill>
              </w:rPr>
              <w:t>时</w:t>
            </w:r>
            <w:r>
              <w:rPr>
                <w:rFonts w:hint="eastAsia" w:ascii="宋体" w:hAnsi="宋体" w:cs="宋体"/>
                <w:b/>
                <w:bCs/>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hint="eastAsia" w:ascii="宋体" w:hAnsi="宋体" w:cs="宋体"/>
                <w:b/>
                <w:bCs/>
                <w:color w:val="0D0D0D" w:themeColor="text1" w:themeTint="F2"/>
                <w:sz w:val="24"/>
                <w:szCs w:val="24"/>
                <w:highlight w:val="none"/>
                <w14:textFill>
                  <w14:solidFill>
                    <w14:schemeClr w14:val="tx1">
                      <w14:lumMod w14:val="95000"/>
                      <w14:lumOff w14:val="5000"/>
                    </w14:schemeClr>
                  </w14:solidFill>
                </w14:textFill>
              </w:rPr>
              <w:t>0分</w:t>
            </w:r>
          </w:p>
          <w:p>
            <w:pPr>
              <w:spacing w:line="360" w:lineRule="auto"/>
              <w:rPr>
                <w:rFonts w:hint="default" w:ascii="宋体" w:hAnsi="宋体"/>
                <w:sz w:val="24"/>
                <w:highlight w:val="none"/>
                <w:lang w:val="en-US" w:eastAsia="zh-CN"/>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提交地点：</w:t>
            </w:r>
            <w:r>
              <w:rPr>
                <w:rFonts w:hint="eastAsia" w:ascii="宋体" w:hAnsi="宋体"/>
                <w:sz w:val="24"/>
                <w:highlight w:val="none"/>
              </w:rPr>
              <w:t>南通市通州区</w:t>
            </w:r>
            <w:r>
              <w:rPr>
                <w:rFonts w:hint="eastAsia" w:ascii="宋体" w:hAnsi="宋体"/>
                <w:sz w:val="24"/>
                <w:highlight w:val="none"/>
                <w:lang w:val="en-US" w:eastAsia="zh-CN"/>
              </w:rPr>
              <w:t>水务有限公司三楼东会议室</w:t>
            </w:r>
          </w:p>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sz w:val="24"/>
                <w:highlight w:val="none"/>
                <w:lang w:val="en-US" w:eastAsia="zh-CN"/>
              </w:rPr>
              <w:t>南通市通州区希望路18号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09" w:type="dxa"/>
            <w:vAlign w:val="center"/>
          </w:tcPr>
          <w:p>
            <w:pPr>
              <w:spacing w:line="360" w:lineRule="auto"/>
              <w:jc w:val="center"/>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15</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最高限价</w:t>
            </w:r>
          </w:p>
        </w:tc>
        <w:tc>
          <w:tcPr>
            <w:tcW w:w="6905" w:type="dxa"/>
            <w:vAlign w:val="center"/>
          </w:tcPr>
          <w:p>
            <w:pPr>
              <w:widowControl/>
              <w:spacing w:line="360" w:lineRule="auto"/>
              <w:jc w:val="left"/>
              <w:rPr>
                <w:rFonts w:ascii="宋体" w:hAnsi="宋体" w:cs="宋体"/>
                <w:b/>
                <w:color w:val="FF0000"/>
                <w:kern w:val="0"/>
                <w:sz w:val="24"/>
                <w:szCs w:val="24"/>
                <w:highlight w:val="none"/>
              </w:rPr>
            </w:pPr>
            <w:r>
              <w:rPr>
                <w:rFonts w:hint="eastAsia" w:ascii="宋体" w:hAnsi="宋体" w:cs="宋体"/>
                <w:b/>
                <w:color w:val="FF0000"/>
                <w:kern w:val="0"/>
                <w:sz w:val="24"/>
                <w:szCs w:val="24"/>
                <w:highlight w:val="none"/>
              </w:rPr>
              <w:t>人民币</w:t>
            </w:r>
            <w:r>
              <w:rPr>
                <w:rFonts w:hint="eastAsia" w:ascii="宋体" w:hAnsi="宋体" w:cs="宋体"/>
                <w:b/>
                <w:color w:val="FF0000"/>
                <w:kern w:val="0"/>
                <w:sz w:val="24"/>
                <w:szCs w:val="24"/>
                <w:highlight w:val="none"/>
                <w:lang w:val="en-US" w:eastAsia="zh-CN"/>
              </w:rPr>
              <w:t>9.8</w:t>
            </w:r>
            <w:r>
              <w:rPr>
                <w:rFonts w:hint="eastAsia" w:ascii="宋体" w:hAnsi="宋体" w:cs="宋体"/>
                <w:b/>
                <w:color w:val="FF0000"/>
                <w:kern w:val="0"/>
                <w:sz w:val="24"/>
                <w:szCs w:val="24"/>
                <w:highlight w:val="none"/>
              </w:rPr>
              <w:t>万元</w:t>
            </w:r>
          </w:p>
          <w:p>
            <w:pPr>
              <w:widowControl/>
              <w:spacing w:line="360" w:lineRule="auto"/>
              <w:jc w:val="left"/>
              <w:rPr>
                <w:rFonts w:ascii="宋体" w:hAnsi="宋体" w:cs="宋体"/>
                <w:kern w:val="0"/>
                <w:sz w:val="24"/>
                <w:szCs w:val="24"/>
                <w:highlight w:val="none"/>
              </w:rPr>
            </w:pPr>
            <w:r>
              <w:rPr>
                <w:rFonts w:hint="eastAsia" w:ascii="宋体" w:hAnsi="宋体" w:cs="宋体"/>
                <w:b/>
                <w:color w:val="FF0000"/>
                <w:kern w:val="0"/>
                <w:sz w:val="24"/>
                <w:szCs w:val="24"/>
                <w:highlight w:val="none"/>
              </w:rPr>
              <w:t>单价、总价均不得高于最高限价，否则作废标处理。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09" w:type="dxa"/>
            <w:vAlign w:val="center"/>
          </w:tcPr>
          <w:p>
            <w:pPr>
              <w:spacing w:line="360" w:lineRule="auto"/>
              <w:jc w:val="center"/>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16</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履约保证金</w:t>
            </w:r>
          </w:p>
        </w:tc>
        <w:tc>
          <w:tcPr>
            <w:tcW w:w="6905" w:type="dxa"/>
            <w:vAlign w:val="center"/>
          </w:tcPr>
          <w:p>
            <w:pPr>
              <w:adjustRightInd w:val="0"/>
              <w:snapToGrid w:val="0"/>
              <w:spacing w:line="360" w:lineRule="auto"/>
              <w:rPr>
                <w:rFonts w:ascii="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合同价款的10%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17</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联系方式</w:t>
            </w:r>
          </w:p>
        </w:tc>
        <w:tc>
          <w:tcPr>
            <w:tcW w:w="6905" w:type="dxa"/>
          </w:tcPr>
          <w:p>
            <w:pPr>
              <w:spacing w:line="360" w:lineRule="auto"/>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招标人：</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南通市通州区水务有限公司</w:t>
            </w:r>
          </w:p>
          <w:p>
            <w:pPr>
              <w:spacing w:line="360" w:lineRule="auto"/>
              <w:rPr>
                <w:rFonts w:hint="eastAsia" w:ascii="宋体" w:hAnsi="宋体" w:eastAsia="宋体" w:cs="宋体"/>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联系人：</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瞿先生</w:t>
            </w:r>
            <w:r>
              <w:rPr>
                <w:rFonts w:hint="eastAsia" w:ascii="宋体" w:hAnsi="宋体"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 xml:space="preserve"> </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　　　联</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系电话：</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0513-</w:t>
            </w:r>
            <w:r>
              <w:rPr>
                <w:rFonts w:hint="eastAsia" w:ascii="??" w:hAnsi="??" w:cs="??"/>
                <w:kern w:val="0"/>
                <w:sz w:val="24"/>
                <w:szCs w:val="24"/>
                <w:highlight w:val="none"/>
                <w:lang w:val="en-US" w:eastAsia="zh-CN"/>
              </w:rPr>
              <w:t>86119037</w:t>
            </w:r>
          </w:p>
          <w:p>
            <w:pPr>
              <w:spacing w:line="360" w:lineRule="auto"/>
              <w:rPr>
                <w:rFonts w:hint="default" w:ascii="宋体" w:eastAsia="宋体" w:cs="宋体"/>
                <w:color w:val="0D0D0D" w:themeColor="text1" w:themeTint="F2"/>
                <w:kern w:val="0"/>
                <w:sz w:val="24"/>
                <w:szCs w:val="24"/>
                <w:highlight w:val="none"/>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地址：南通市通州区</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希望路18号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spacing w:line="360" w:lineRule="auto"/>
              <w:jc w:val="center"/>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18</w:t>
            </w:r>
          </w:p>
        </w:tc>
        <w:tc>
          <w:tcPr>
            <w:tcW w:w="1915" w:type="dxa"/>
            <w:vAlign w:val="center"/>
          </w:tcPr>
          <w:p>
            <w:pPr>
              <w:spacing w:line="360" w:lineRule="auto"/>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特别提醒</w:t>
            </w:r>
          </w:p>
        </w:tc>
        <w:tc>
          <w:tcPr>
            <w:tcW w:w="6905" w:type="dxa"/>
          </w:tcPr>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投标报价为含税报价，中标单位开据的票据为可抵扣的增值税专用发票。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709" w:type="dxa"/>
            <w:vAlign w:val="center"/>
          </w:tcPr>
          <w:p>
            <w:pPr>
              <w:widowControl/>
              <w:spacing w:line="360" w:lineRule="auto"/>
              <w:jc w:val="center"/>
              <w:rPr>
                <w:rFonts w:ascii="宋体" w:hAnsi="宋体" w:cs="宋体"/>
                <w:kern w:val="0"/>
                <w:sz w:val="24"/>
                <w:szCs w:val="24"/>
                <w:highlight w:val="none"/>
              </w:rPr>
            </w:pPr>
            <w:r>
              <w:rPr>
                <w:rFonts w:hint="eastAsia" w:ascii="宋体" w:hAnsi="宋体" w:cs="宋体"/>
                <w:kern w:val="0"/>
                <w:sz w:val="24"/>
                <w:szCs w:val="24"/>
                <w:highlight w:val="none"/>
              </w:rPr>
              <w:t>19</w:t>
            </w:r>
          </w:p>
        </w:tc>
        <w:tc>
          <w:tcPr>
            <w:tcW w:w="1915" w:type="dxa"/>
            <w:vAlign w:val="center"/>
          </w:tcPr>
          <w:p>
            <w:pPr>
              <w:widowControl/>
              <w:spacing w:line="360" w:lineRule="auto"/>
              <w:jc w:val="left"/>
              <w:rPr>
                <w:rFonts w:ascii="宋体" w:hAnsi="宋体" w:cs="宋体"/>
                <w:kern w:val="0"/>
                <w:sz w:val="24"/>
                <w:szCs w:val="24"/>
                <w:highlight w:val="none"/>
              </w:rPr>
            </w:pPr>
            <w:r>
              <w:rPr>
                <w:rFonts w:hint="eastAsia" w:ascii="宋体" w:hAnsi="宋体" w:cs="宋体"/>
                <w:sz w:val="24"/>
                <w:szCs w:val="24"/>
                <w:highlight w:val="none"/>
              </w:rPr>
              <w:t>参加开标会的投标人代表</w:t>
            </w:r>
          </w:p>
        </w:tc>
        <w:tc>
          <w:tcPr>
            <w:tcW w:w="6905" w:type="dxa"/>
            <w:vAlign w:val="center"/>
          </w:tcPr>
          <w:p>
            <w:pPr>
              <w:widowControl/>
              <w:spacing w:line="360" w:lineRule="auto"/>
              <w:rPr>
                <w:rFonts w:ascii="宋体" w:hAnsi="宋体" w:cs="宋体"/>
                <w:kern w:val="0"/>
                <w:sz w:val="24"/>
                <w:szCs w:val="24"/>
                <w:highlight w:val="none"/>
              </w:rPr>
            </w:pPr>
            <w:r>
              <w:rPr>
                <w:rFonts w:hint="eastAsia" w:ascii="宋体" w:hAnsi="宋体" w:cs="宋体"/>
                <w:bCs/>
                <w:sz w:val="24"/>
                <w:szCs w:val="24"/>
                <w:highlight w:val="none"/>
              </w:rPr>
              <w:t>本项目的授权委托人需出示身份证原件，亲自、准时参加开标会议，否则不论何原因，均视为自动弃权，其投标文件将被招标人拒绝。</w:t>
            </w:r>
          </w:p>
        </w:tc>
      </w:tr>
    </w:tbl>
    <w:p>
      <w:pPr>
        <w:tabs>
          <w:tab w:val="left" w:pos="3475"/>
          <w:tab w:val="center" w:pos="4595"/>
        </w:tabs>
        <w:spacing w:line="360" w:lineRule="auto"/>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一、投标须知</w:t>
      </w:r>
    </w:p>
    <w:p>
      <w:pPr>
        <w:spacing w:line="400" w:lineRule="exact"/>
        <w:ind w:firstLine="472" w:firstLineChars="196"/>
        <w:rPr>
          <w:rFonts w:hint="eastAsia" w:ascii="宋体" w:hAnsi="宋体" w:cs="宋体"/>
          <w:b/>
          <w:bCs/>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24"/>
          <w:szCs w:val="24"/>
          <w:highlight w:val="none"/>
          <w14:textFill>
            <w14:solidFill>
              <w14:schemeClr w14:val="tx1">
                <w14:lumMod w14:val="95000"/>
                <w14:lumOff w14:val="5000"/>
              </w14:schemeClr>
            </w14:solidFill>
          </w14:textFill>
        </w:rPr>
        <w:t>（一）投标人应具备的资格条件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1.具有独立的法人资格，具有电子与智能化工程专业承包</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贰</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级资质，并在人员、设备、资金等方面具有相应的施工能力；</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2.在全国范围内没有被暂停投标并在公示期内或无不良行为记录（俗称黑名单）且在公示期内，没有被列入失信被执行人，没有被列入重大税收违法案件名单，没有被列入政府采购违法失信行为记录名单；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3.投标人须提供人近</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三</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年(20</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21</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年1月至</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202</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3</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年</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12</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月) 自来水或污水自控设备供货安装调试项目类似业绩3个（中标通知书、施工合同、竣工验收证书）并提供网上中标公示截图</w:t>
      </w:r>
      <w:r>
        <w:rPr>
          <w:rFonts w:hint="eastAsia" w:ascii="??" w:hAnsi="??" w:cs="宋体"/>
          <w:color w:val="0D0D0D" w:themeColor="text1" w:themeTint="F2"/>
          <w:kern w:val="0"/>
          <w:sz w:val="24"/>
          <w:szCs w:val="24"/>
          <w:highlight w:val="none"/>
          <w:lang w:eastAsia="zh-CN"/>
          <w14:textFill>
            <w14:solidFill>
              <w14:schemeClr w14:val="tx1">
                <w14:lumMod w14:val="95000"/>
                <w14:lumOff w14:val="5000"/>
              </w14:schemeClr>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pP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4.本次</w:t>
      </w:r>
      <w:r>
        <w:rPr>
          <w:rFonts w:hint="eastAsia" w:ascii="??" w:hAnsi="??" w:cs="宋体"/>
          <w:color w:val="0D0D0D" w:themeColor="text1" w:themeTint="F2"/>
          <w:kern w:val="0"/>
          <w:sz w:val="24"/>
          <w:szCs w:val="24"/>
          <w:highlight w:val="none"/>
          <w:lang w:val="en-US" w:eastAsia="zh-CN"/>
          <w14:textFill>
            <w14:solidFill>
              <w14:schemeClr w14:val="tx1">
                <w14:lumMod w14:val="95000"/>
                <w14:lumOff w14:val="5000"/>
              </w14:schemeClr>
            </w14:solidFill>
          </w14:textFill>
        </w:rPr>
        <w:t>招标</w:t>
      </w:r>
      <w:r>
        <w:rPr>
          <w:rFonts w:hint="eastAsia" w:ascii="??" w:hAnsi="??" w:cs="宋体"/>
          <w:color w:val="0D0D0D" w:themeColor="text1" w:themeTint="F2"/>
          <w:kern w:val="0"/>
          <w:sz w:val="24"/>
          <w:szCs w:val="24"/>
          <w:highlight w:val="none"/>
          <w14:textFill>
            <w14:solidFill>
              <w14:schemeClr w14:val="tx1">
                <w14:lumMod w14:val="95000"/>
                <w14:lumOff w14:val="5000"/>
              </w14:schemeClr>
            </w14:solidFill>
          </w14:textFill>
        </w:rPr>
        <w:t>不接受联合体报价。</w:t>
      </w:r>
    </w:p>
    <w:p>
      <w:pPr>
        <w:spacing w:line="4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（二）投标费用</w:t>
      </w:r>
    </w:p>
    <w:p>
      <w:pPr>
        <w:spacing w:line="420" w:lineRule="exact"/>
        <w:ind w:firstLine="720" w:firstLineChars="3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投标单位应承担其编制投标文件以及递交投标文件所涉及的一切费用，无论投标结果如何，招标人对上述费用不负任何责任。</w:t>
      </w:r>
    </w:p>
    <w:p>
      <w:pPr>
        <w:spacing w:line="480" w:lineRule="exact"/>
        <w:ind w:left="-540" w:leftChars="-257" w:firstLine="723" w:firstLineChars="225"/>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二、招标文件内容、澄清和修改</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（一）招标文件的组成</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、招标公告</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、投标须知及投标须知前附表</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、评标办法</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、合同条款</w:t>
      </w:r>
    </w:p>
    <w:p>
      <w:pPr>
        <w:spacing w:line="480" w:lineRule="exact"/>
        <w:ind w:firstLine="480" w:firstLineChars="200"/>
        <w:jc w:val="lef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、投标文件格式</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6、项目需求</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下载招标文件后，应仔细检查招标文件的所有内容，如对招标活动事项由疑问的，应以书面形式提出询问或疑问，未在规定提出询问或疑问的，视同投标人理解并接受本招标文件所有内容，并由此引起的投标损失自负。</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bookmarkStart w:id="6" w:name="_Toc513029211"/>
      <w:bookmarkStart w:id="7" w:name="_Toc462564070"/>
      <w:bookmarkStart w:id="8" w:name="_Toc16938527"/>
      <w:bookmarkStart w:id="9" w:name="_Toc20823283"/>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（二）招标文件的</w:t>
      </w:r>
      <w:bookmarkEnd w:id="6"/>
      <w:bookmarkEnd w:id="7"/>
      <w:bookmarkEnd w:id="8"/>
      <w:bookmarkEnd w:id="9"/>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询问</w:t>
      </w:r>
    </w:p>
    <w:p>
      <w:pPr>
        <w:widowControl/>
        <w:spacing w:line="400" w:lineRule="exact"/>
        <w:ind w:firstLine="480" w:firstLineChars="200"/>
        <w:rPr>
          <w:rFonts w:ascii="宋体" w:hAnsi="宋体" w:cs="宋体"/>
          <w:color w:val="000000"/>
          <w:sz w:val="24"/>
          <w:highlight w:val="none"/>
        </w:rPr>
      </w:pPr>
      <w:bookmarkStart w:id="10" w:name="_Toc20823284"/>
      <w:bookmarkStart w:id="11" w:name="_Toc513029212"/>
      <w:bookmarkStart w:id="12" w:name="_Toc462564071"/>
      <w:bookmarkStart w:id="13" w:name="_Toc16938528"/>
      <w:r>
        <w:rPr>
          <w:rFonts w:hint="eastAsia" w:ascii="宋体" w:hAnsi="宋体" w:cs="宋体"/>
          <w:color w:val="000000"/>
          <w:sz w:val="24"/>
          <w:highlight w:val="none"/>
        </w:rPr>
        <w:t>1、投标人对招标活动事项有疑问的，应当在</w:t>
      </w:r>
      <w:r>
        <w:rPr>
          <w:rFonts w:hint="eastAsia" w:ascii="宋体" w:hAnsi="宋体" w:cs="宋体"/>
          <w:color w:val="000000"/>
          <w:sz w:val="24"/>
          <w:highlight w:val="none"/>
          <w:lang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4月10</w:t>
      </w:r>
      <w:r>
        <w:rPr>
          <w:rFonts w:hint="eastAsia" w:ascii="宋体" w:hAnsi="宋体" w:cs="宋体"/>
          <w:color w:val="000000"/>
          <w:sz w:val="24"/>
          <w:highlight w:val="none"/>
        </w:rPr>
        <w:t>日17:00前向招标人提出询问，招标人将在</w:t>
      </w:r>
      <w:r>
        <w:rPr>
          <w:rFonts w:hint="eastAsia" w:ascii="宋体" w:hAnsi="宋体" w:cs="宋体"/>
          <w:color w:val="000000"/>
          <w:sz w:val="24"/>
          <w:highlight w:val="none"/>
          <w:lang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4月12</w:t>
      </w:r>
      <w:r>
        <w:rPr>
          <w:rFonts w:hint="eastAsia" w:ascii="宋体" w:hAnsi="宋体" w:cs="宋体"/>
          <w:color w:val="000000"/>
          <w:sz w:val="24"/>
          <w:highlight w:val="none"/>
        </w:rPr>
        <w:t>日17:00前对投标人依法提出的询问作出答复。</w:t>
      </w:r>
      <w:r>
        <w:rPr>
          <w:rFonts w:ascii="宋体" w:hAnsi="宋体" w:cs="宋体"/>
          <w:color w:val="000000"/>
          <w:sz w:val="24"/>
          <w:highlight w:val="none"/>
        </w:rPr>
        <w:br w:type="textWrapping"/>
      </w:r>
      <w:r>
        <w:rPr>
          <w:rFonts w:hint="eastAsia" w:ascii="宋体" w:hAnsi="宋体" w:cs="宋体"/>
          <w:color w:val="000000"/>
          <w:sz w:val="24"/>
          <w:highlight w:val="none"/>
        </w:rPr>
        <w:t xml:space="preserve">    2、潜在投标人</w:t>
      </w:r>
      <w:r>
        <w:rPr>
          <w:rFonts w:hint="eastAsia" w:ascii="宋体" w:hAnsi="宋体" w:cs="宋体"/>
          <w:color w:val="000000"/>
          <w:kern w:val="0"/>
          <w:sz w:val="24"/>
          <w:szCs w:val="24"/>
          <w:highlight w:val="none"/>
          <w:shd w:val="clear" w:color="auto" w:fill="FFFFFF"/>
        </w:rPr>
        <w:t>或者其他利害关系人</w:t>
      </w:r>
      <w:r>
        <w:rPr>
          <w:rFonts w:hint="eastAsia" w:ascii="宋体" w:hAnsi="宋体" w:cs="宋体"/>
          <w:color w:val="000000"/>
          <w:sz w:val="24"/>
          <w:highlight w:val="none"/>
        </w:rPr>
        <w:t>对招标文件有异议的应当在</w:t>
      </w:r>
      <w:r>
        <w:rPr>
          <w:rFonts w:hint="eastAsia" w:ascii="宋体" w:hAnsi="宋体" w:cs="宋体"/>
          <w:color w:val="000000"/>
          <w:sz w:val="24"/>
          <w:highlight w:val="none"/>
          <w:lang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4月10</w:t>
      </w:r>
      <w:r>
        <w:rPr>
          <w:rFonts w:hint="eastAsia" w:ascii="宋体" w:hAnsi="宋体" w:cs="宋体"/>
          <w:color w:val="000000"/>
          <w:sz w:val="24"/>
          <w:highlight w:val="none"/>
        </w:rPr>
        <w:t>日提出，潜在投标人</w:t>
      </w:r>
      <w:r>
        <w:rPr>
          <w:rFonts w:hint="eastAsia" w:ascii="宋体" w:hAnsi="宋体" w:cs="宋体"/>
          <w:color w:val="000000"/>
          <w:kern w:val="0"/>
          <w:sz w:val="24"/>
          <w:szCs w:val="24"/>
          <w:highlight w:val="none"/>
          <w:shd w:val="clear" w:color="auto" w:fill="FFFFFF"/>
        </w:rPr>
        <w:t>或者其他利害关系人</w:t>
      </w:r>
      <w:r>
        <w:rPr>
          <w:rFonts w:hint="eastAsia" w:ascii="宋体" w:hAnsi="宋体" w:cs="宋体"/>
          <w:color w:val="000000"/>
          <w:sz w:val="24"/>
          <w:highlight w:val="none"/>
        </w:rPr>
        <w:t>应当在法定异议期内一次性提出针对同一招标环节的全部异议。异议书必须包含被异议项目名称、招标公告（文件）发布时间、异议事项、证据材料、法律依据（具体条款）、异议人名称、地址联系人、联系方式等。招标人只接受以纸质原件形式送达的异议，不接受以传真、电子邮件等方式递交的非原件形式的异议。异议书必须由法定代表人签字或盖章，并加盖投标人公章。若受委托人签字或盖章的必须附法定代表人针对当次异议的授权。</w:t>
      </w:r>
    </w:p>
    <w:p>
      <w:pPr>
        <w:widowControl/>
        <w:spacing w:line="400" w:lineRule="exact"/>
        <w:ind w:left="359" w:leftChars="171"/>
        <w:jc w:val="left"/>
        <w:rPr>
          <w:rFonts w:cs="宋体"/>
          <w:color w:val="000000"/>
          <w:sz w:val="24"/>
          <w:highlight w:val="none"/>
        </w:rPr>
      </w:pPr>
      <w:r>
        <w:rPr>
          <w:rFonts w:cs="宋体"/>
          <w:color w:val="000000"/>
          <w:sz w:val="24"/>
          <w:highlight w:val="none"/>
        </w:rPr>
        <w:t>招标人将在收到异议之日起三日内作出答复</w:t>
      </w:r>
      <w:r>
        <w:rPr>
          <w:rFonts w:hint="eastAsia" w:cs="宋体"/>
          <w:color w:val="000000"/>
          <w:sz w:val="24"/>
          <w:highlight w:val="none"/>
        </w:rPr>
        <w:t>。</w:t>
      </w:r>
    </w:p>
    <w:p>
      <w:pPr>
        <w:widowControl/>
        <w:spacing w:line="400" w:lineRule="exact"/>
        <w:ind w:firstLine="480" w:firstLineChars="200"/>
        <w:jc w:val="left"/>
        <w:rPr>
          <w:rFonts w:ascii="宋体" w:hAnsi="宋体" w:cs="宋体"/>
          <w:color w:val="000000"/>
          <w:sz w:val="24"/>
          <w:highlight w:val="none"/>
        </w:rPr>
      </w:pPr>
      <w:r>
        <w:rPr>
          <w:rFonts w:hint="eastAsia" w:ascii="宋体" w:hAnsi="宋体" w:cs="宋体"/>
          <w:color w:val="000000"/>
          <w:sz w:val="24"/>
          <w:highlight w:val="none"/>
        </w:rPr>
        <w:t>3、招标人委托招标代理机构招标的，投标人可以向招标代理机构提出询问或者异议，招标代理机构依照《中华人民共和国招标投标法》有关规定就招标人授权范围内的事项作出答复。</w:t>
      </w:r>
      <w:r>
        <w:rPr>
          <w:rFonts w:ascii="宋体" w:hAnsi="宋体" w:cs="宋体"/>
          <w:color w:val="000000"/>
          <w:sz w:val="24"/>
          <w:highlight w:val="none"/>
        </w:rPr>
        <w:br w:type="textWrapping"/>
      </w:r>
      <w:r>
        <w:rPr>
          <w:rFonts w:ascii="宋体" w:hAnsi="宋体" w:cs="宋体"/>
          <w:color w:val="000000"/>
          <w:sz w:val="24"/>
          <w:highlight w:val="none"/>
        </w:rPr>
        <w:t xml:space="preserve">    4</w:t>
      </w:r>
      <w:r>
        <w:rPr>
          <w:rFonts w:hint="eastAsia" w:ascii="宋体" w:hAnsi="宋体" w:cs="宋体"/>
          <w:color w:val="000000"/>
          <w:sz w:val="24"/>
          <w:highlight w:val="none"/>
        </w:rPr>
        <w:t>、招标人可能在</w:t>
      </w:r>
      <w:r>
        <w:rPr>
          <w:rFonts w:hint="eastAsia" w:ascii="宋体" w:hAnsi="宋体" w:cs="宋体"/>
          <w:color w:val="000000"/>
          <w:sz w:val="24"/>
          <w:highlight w:val="none"/>
          <w:lang w:eastAsia="zh-CN"/>
        </w:rPr>
        <w:t>2024</w:t>
      </w:r>
      <w:r>
        <w:rPr>
          <w:rFonts w:hint="eastAsia" w:ascii="宋体" w:hAnsi="宋体" w:cs="宋体"/>
          <w:color w:val="000000"/>
          <w:sz w:val="24"/>
          <w:highlight w:val="none"/>
        </w:rPr>
        <w:t>年</w:t>
      </w:r>
      <w:r>
        <w:rPr>
          <w:rFonts w:hint="eastAsia" w:ascii="宋体" w:hAnsi="宋体" w:cs="宋体"/>
          <w:color w:val="000000"/>
          <w:sz w:val="24"/>
          <w:highlight w:val="none"/>
          <w:lang w:val="en-US" w:eastAsia="zh-CN"/>
        </w:rPr>
        <w:t>4月12</w:t>
      </w:r>
      <w:r>
        <w:rPr>
          <w:rFonts w:hint="eastAsia" w:ascii="宋体" w:hAnsi="宋体" w:cs="宋体"/>
          <w:color w:val="000000"/>
          <w:sz w:val="24"/>
          <w:highlight w:val="none"/>
        </w:rPr>
        <w:t>日前对已发出的招标文件、资格预审文件、投标邀请书进行必要的澄清或者修改，如澄清或修改时间晚于国家有关法律法规规定的，招标人将顺延提交投标文件或者资格预审申请文件的截止时间，并以网上发布形式通知所有获取招标文件或资格预审文件的潜在投标人。</w:t>
      </w:r>
    </w:p>
    <w:p>
      <w:pPr>
        <w:spacing w:line="480" w:lineRule="exact"/>
        <w:ind w:firstLine="480" w:firstLineChars="200"/>
        <w:jc w:val="lef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（三）招标文件的修改</w:t>
      </w:r>
      <w:bookmarkEnd w:id="10"/>
      <w:bookmarkEnd w:id="11"/>
      <w:bookmarkEnd w:id="12"/>
      <w:bookmarkEnd w:id="13"/>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及澄清</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、在投标截止时间三日前，招标人可以对招标文件进行修改。</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、招标人有权按照法定的要求推迟投标截止日期和开标日期。</w:t>
      </w:r>
    </w:p>
    <w:p>
      <w:pPr>
        <w:spacing w:line="480" w:lineRule="exact"/>
        <w:ind w:firstLine="480" w:firstLineChars="200"/>
        <w:jc w:val="lef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、招标文件的修改将在南通公共资源交易网公布，补充文件将作为招标文件的组成部分，并对投标人具有约束力。</w:t>
      </w:r>
    </w:p>
    <w:p>
      <w:pPr>
        <w:spacing w:line="480" w:lineRule="exact"/>
        <w:ind w:left="-540" w:leftChars="-257" w:firstLine="3447" w:firstLineChars="1073"/>
        <w:rPr>
          <w:rFonts w:ascii="宋体" w:cs="宋体"/>
          <w:b/>
          <w:bCs/>
          <w:color w:val="0D0D0D" w:themeColor="text1" w:themeTint="F2"/>
          <w:sz w:val="32"/>
          <w:szCs w:val="32"/>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三、投标文件的编制</w:t>
      </w:r>
    </w:p>
    <w:p>
      <w:pPr>
        <w:spacing w:line="480" w:lineRule="exact"/>
        <w:ind w:firstLine="480" w:firstLineChars="200"/>
        <w:jc w:val="left"/>
        <w:rPr>
          <w:rFonts w:ascii="宋体" w:cs="宋体"/>
          <w:color w:val="0D0D0D" w:themeColor="text1" w:themeTint="F2"/>
          <w:sz w:val="24"/>
          <w:szCs w:val="24"/>
          <w:highlight w:val="none"/>
          <w:u w:val="singl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（一）投标文件应包括下列内容：</w:t>
      </w:r>
      <w:r>
        <w:rPr>
          <w:rFonts w:hint="eastAsia" w:ascii="宋体" w:hAnsi="宋体" w:cs="宋体"/>
          <w:b/>
          <w:color w:val="0D0D0D" w:themeColor="text1" w:themeTint="F2"/>
          <w:sz w:val="24"/>
          <w:szCs w:val="24"/>
          <w:highlight w:val="none"/>
          <w:u w:val="single"/>
          <w14:textFill>
            <w14:solidFill>
              <w14:schemeClr w14:val="tx1">
                <w14:lumMod w14:val="95000"/>
                <w14:lumOff w14:val="5000"/>
              </w14:schemeClr>
            </w14:solidFill>
          </w14:textFill>
        </w:rPr>
        <w:t>资格审查文件、价格标文件</w:t>
      </w:r>
    </w:p>
    <w:p>
      <w:pPr>
        <w:spacing w:line="480" w:lineRule="exact"/>
        <w:ind w:firstLine="482" w:firstLineChars="200"/>
        <w:jc w:val="left"/>
        <w:rPr>
          <w:rFonts w:ascii="宋体" w:cs="宋体"/>
          <w:b/>
          <w:bCs/>
          <w:color w:val="0D0D0D" w:themeColor="text1" w:themeTint="F2"/>
          <w:sz w:val="24"/>
          <w:szCs w:val="24"/>
          <w:highlight w:val="none"/>
          <w:u w:val="single"/>
          <w14:textFill>
            <w14:solidFill>
              <w14:schemeClr w14:val="tx1">
                <w14:lumMod w14:val="95000"/>
                <w14:lumOff w14:val="5000"/>
              </w14:schemeClr>
            </w14:solidFill>
          </w14:textFill>
        </w:rPr>
      </w:pPr>
      <w:r>
        <w:rPr>
          <w:rFonts w:hint="eastAsia" w:ascii="宋体" w:hAnsi="宋体" w:cs="宋体"/>
          <w:b/>
          <w:bCs/>
          <w:color w:val="0D0D0D" w:themeColor="text1" w:themeTint="F2"/>
          <w:sz w:val="24"/>
          <w:szCs w:val="24"/>
          <w:highlight w:val="none"/>
          <w:u w:val="single"/>
          <w14:textFill>
            <w14:solidFill>
              <w14:schemeClr w14:val="tx1">
                <w14:lumMod w14:val="95000"/>
                <w14:lumOff w14:val="5000"/>
              </w14:schemeClr>
            </w14:solidFill>
          </w14:textFill>
        </w:rPr>
        <w:t>资格审查文件</w:t>
      </w:r>
      <w:r>
        <w:rPr>
          <w:rFonts w:hint="eastAsia" w:ascii="仿宋" w:hAnsi="仿宋" w:cs="宋体"/>
          <w:b/>
          <w:bCs/>
          <w:color w:val="0D0D0D" w:themeColor="text1" w:themeTint="F2"/>
          <w:sz w:val="24"/>
          <w:szCs w:val="24"/>
          <w:highlight w:val="none"/>
          <w:u w:val="single"/>
          <w14:textFill>
            <w14:solidFill>
              <w14:schemeClr w14:val="tx1">
                <w14:lumMod w14:val="95000"/>
                <w14:lumOff w14:val="5000"/>
              </w14:schemeClr>
            </w14:solidFill>
          </w14:textFill>
        </w:rPr>
        <w:t>：</w:t>
      </w:r>
    </w:p>
    <w:p>
      <w:pPr>
        <w:pStyle w:val="48"/>
        <w:spacing w:line="480" w:lineRule="exact"/>
        <w:ind w:left="480" w:firstLine="0" w:firstLineChars="0"/>
        <w:jc w:val="lef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1、法定代表人身份证明书</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或</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法定代表人身份证复印件加盖单位公章；</w:t>
      </w:r>
    </w:p>
    <w:p>
      <w:pPr>
        <w:pStyle w:val="48"/>
        <w:spacing w:line="480" w:lineRule="exact"/>
        <w:ind w:left="480" w:firstLine="0" w:firstLineChars="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2、授权委托书</w:t>
      </w: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及</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委托代理人身份证复印件加盖单位公章；</w:t>
      </w:r>
    </w:p>
    <w:p>
      <w:pPr>
        <w:pStyle w:val="48"/>
        <w:numPr>
          <w:ilvl w:val="0"/>
          <w:numId w:val="3"/>
        </w:numPr>
        <w:spacing w:line="480" w:lineRule="exact"/>
        <w:ind w:firstLineChars="0"/>
        <w:jc w:val="lef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营业执照复印件加盖单位公章；</w:t>
      </w:r>
    </w:p>
    <w:p>
      <w:pPr>
        <w:adjustRightInd w:val="0"/>
        <w:spacing w:line="360" w:lineRule="auto"/>
        <w:ind w:firstLine="480" w:firstLineChars="200"/>
        <w:rPr>
          <w:rFonts w:ascii="宋体" w:hAnsi="宋体" w:cs="宋体"/>
          <w:color w:val="000000"/>
          <w:kern w:val="0"/>
          <w:sz w:val="24"/>
          <w:szCs w:val="20"/>
          <w:highlight w:val="none"/>
        </w:rPr>
      </w:pPr>
      <w:r>
        <w:rPr>
          <w:rFonts w:hint="eastAsia" w:ascii="宋体" w:hAnsi="宋体" w:cs="宋体"/>
          <w:sz w:val="24"/>
          <w:highlight w:val="none"/>
        </w:rPr>
        <w:t>4、</w:t>
      </w:r>
      <w:r>
        <w:rPr>
          <w:rFonts w:hint="eastAsia" w:ascii="宋体" w:hAnsi="宋体" w:cs="宋体"/>
          <w:color w:val="000000"/>
          <w:kern w:val="0"/>
          <w:sz w:val="24"/>
          <w:szCs w:val="20"/>
          <w:highlight w:val="none"/>
        </w:rPr>
        <w:t>委托代理人（如有）与投标人签订的有效劳动合同及投标人为委托代理人缴纳的</w:t>
      </w:r>
      <w:r>
        <w:rPr>
          <w:rFonts w:hint="eastAsia" w:ascii="宋体" w:hAnsi="宋体" w:cs="宋体"/>
          <w:color w:val="000000"/>
          <w:kern w:val="0"/>
          <w:sz w:val="24"/>
          <w:szCs w:val="20"/>
          <w:highlight w:val="none"/>
          <w:lang w:eastAsia="zh-CN"/>
        </w:rPr>
        <w:t>2024</w:t>
      </w:r>
      <w:r>
        <w:rPr>
          <w:rFonts w:hint="eastAsia" w:ascii="宋体" w:hAnsi="宋体" w:cs="宋体"/>
          <w:color w:val="000000"/>
          <w:kern w:val="0"/>
          <w:sz w:val="24"/>
          <w:szCs w:val="20"/>
          <w:highlight w:val="none"/>
          <w:lang w:val="en-US" w:eastAsia="zh-CN"/>
        </w:rPr>
        <w:t>年1</w:t>
      </w:r>
      <w:r>
        <w:rPr>
          <w:rFonts w:hint="eastAsia" w:ascii="宋体" w:hAnsi="宋体" w:cs="宋体"/>
          <w:color w:val="000000"/>
          <w:kern w:val="0"/>
          <w:sz w:val="24"/>
          <w:szCs w:val="20"/>
          <w:highlight w:val="none"/>
        </w:rPr>
        <w:t>月至</w:t>
      </w:r>
      <w:r>
        <w:rPr>
          <w:rFonts w:hint="eastAsia" w:ascii="宋体" w:hAnsi="宋体" w:cs="宋体"/>
          <w:color w:val="000000"/>
          <w:kern w:val="0"/>
          <w:sz w:val="24"/>
          <w:szCs w:val="20"/>
          <w:highlight w:val="none"/>
          <w:lang w:eastAsia="zh-CN"/>
        </w:rPr>
        <w:t>2024</w:t>
      </w:r>
      <w:r>
        <w:rPr>
          <w:rFonts w:hint="eastAsia" w:ascii="宋体" w:hAnsi="宋体" w:cs="宋体"/>
          <w:color w:val="000000"/>
          <w:kern w:val="0"/>
          <w:sz w:val="24"/>
          <w:szCs w:val="20"/>
          <w:highlight w:val="none"/>
          <w:lang w:val="en-US" w:eastAsia="zh-CN"/>
        </w:rPr>
        <w:t>年3</w:t>
      </w:r>
      <w:r>
        <w:rPr>
          <w:rFonts w:hint="eastAsia" w:ascii="宋体" w:hAnsi="宋体" w:cs="宋体"/>
          <w:color w:val="000000"/>
          <w:kern w:val="0"/>
          <w:sz w:val="24"/>
          <w:szCs w:val="20"/>
          <w:highlight w:val="none"/>
        </w:rPr>
        <w:t>月养老保险缴费证明复印件加盖单位公章（如法定代表人参与投标，则此项不需提供）</w:t>
      </w:r>
      <w:r>
        <w:rPr>
          <w:rFonts w:hint="eastAsia" w:ascii="宋体" w:hAnsi="宋体" w:cs="宋体"/>
          <w:kern w:val="0"/>
          <w:sz w:val="24"/>
          <w:highlight w:val="none"/>
        </w:rPr>
        <w:t>；</w:t>
      </w:r>
    </w:p>
    <w:p>
      <w:pPr>
        <w:adjustRightInd w:val="0"/>
        <w:spacing w:line="360" w:lineRule="auto"/>
        <w:ind w:firstLine="480" w:firstLineChars="200"/>
        <w:rPr>
          <w:rFonts w:hint="eastAsia" w:ascii="宋体" w:hAnsi="宋体" w:cs="宋体"/>
          <w:color w:val="000000"/>
          <w:kern w:val="0"/>
          <w:sz w:val="24"/>
          <w:szCs w:val="20"/>
          <w:highlight w:val="none"/>
          <w:lang w:eastAsia="zh-CN"/>
        </w:rPr>
      </w:pPr>
      <w:r>
        <w:rPr>
          <w:rFonts w:hint="eastAsia" w:ascii="宋体" w:hAnsi="宋体" w:cs="宋体"/>
          <w:color w:val="000000"/>
          <w:kern w:val="0"/>
          <w:sz w:val="24"/>
          <w:highlight w:val="none"/>
        </w:rPr>
        <w:t>5、</w:t>
      </w:r>
      <w:r>
        <w:rPr>
          <w:rFonts w:hint="eastAsia" w:ascii="宋体" w:hAnsi="宋体" w:cs="宋体"/>
          <w:color w:val="000000"/>
          <w:kern w:val="0"/>
          <w:sz w:val="24"/>
          <w:szCs w:val="20"/>
          <w:highlight w:val="none"/>
          <w:lang w:eastAsia="zh-CN"/>
        </w:rPr>
        <w:t>电子与智能化工程专业承包</w:t>
      </w:r>
      <w:r>
        <w:rPr>
          <w:rFonts w:hint="eastAsia" w:ascii="宋体" w:hAnsi="宋体" w:cs="宋体"/>
          <w:color w:val="000000"/>
          <w:kern w:val="0"/>
          <w:sz w:val="24"/>
          <w:szCs w:val="20"/>
          <w:highlight w:val="none"/>
          <w:lang w:val="en-US" w:eastAsia="zh-CN"/>
        </w:rPr>
        <w:t>贰</w:t>
      </w:r>
      <w:r>
        <w:rPr>
          <w:rFonts w:hint="eastAsia" w:ascii="宋体" w:hAnsi="宋体" w:cs="宋体"/>
          <w:color w:val="000000"/>
          <w:kern w:val="0"/>
          <w:sz w:val="24"/>
          <w:szCs w:val="20"/>
          <w:highlight w:val="none"/>
          <w:lang w:eastAsia="zh-CN"/>
        </w:rPr>
        <w:t>级资质；</w:t>
      </w:r>
    </w:p>
    <w:p>
      <w:pPr>
        <w:adjustRightInd w:val="0"/>
        <w:spacing w:line="360" w:lineRule="auto"/>
        <w:ind w:firstLine="480" w:firstLineChars="200"/>
        <w:rPr>
          <w:rFonts w:hint="default" w:ascii="宋体" w:hAnsi="宋体" w:cs="宋体"/>
          <w:color w:val="000000"/>
          <w:kern w:val="0"/>
          <w:sz w:val="24"/>
          <w:szCs w:val="20"/>
          <w:highlight w:val="none"/>
          <w:lang w:val="en-US" w:eastAsia="zh-CN"/>
        </w:rPr>
      </w:pPr>
      <w:r>
        <w:rPr>
          <w:rFonts w:hint="eastAsia" w:ascii="宋体" w:hAnsi="宋体" w:cs="宋体"/>
          <w:color w:val="000000"/>
          <w:kern w:val="0"/>
          <w:sz w:val="24"/>
          <w:szCs w:val="20"/>
          <w:highlight w:val="none"/>
          <w:lang w:val="en-US" w:eastAsia="zh-CN"/>
        </w:rPr>
        <w:t>6、</w:t>
      </w:r>
      <w:r>
        <w:rPr>
          <w:rFonts w:hint="eastAsia" w:ascii="宋体" w:hAnsi="宋体" w:cs="宋体"/>
          <w:color w:val="000000"/>
          <w:kern w:val="0"/>
          <w:sz w:val="24"/>
          <w:szCs w:val="20"/>
          <w:highlight w:val="none"/>
          <w:lang w:eastAsia="zh-CN"/>
        </w:rPr>
        <w:t>提供近</w:t>
      </w:r>
      <w:r>
        <w:rPr>
          <w:rFonts w:hint="eastAsia" w:ascii="宋体" w:hAnsi="宋体" w:cs="宋体"/>
          <w:color w:val="000000"/>
          <w:kern w:val="0"/>
          <w:sz w:val="24"/>
          <w:szCs w:val="20"/>
          <w:highlight w:val="none"/>
          <w:lang w:val="en-US" w:eastAsia="zh-CN"/>
        </w:rPr>
        <w:t>三</w:t>
      </w:r>
      <w:r>
        <w:rPr>
          <w:rFonts w:hint="eastAsia" w:ascii="宋体" w:hAnsi="宋体" w:cs="宋体"/>
          <w:color w:val="000000"/>
          <w:kern w:val="0"/>
          <w:sz w:val="24"/>
          <w:szCs w:val="20"/>
          <w:highlight w:val="none"/>
          <w:lang w:eastAsia="zh-CN"/>
        </w:rPr>
        <w:t>年(20</w:t>
      </w:r>
      <w:r>
        <w:rPr>
          <w:rFonts w:hint="eastAsia" w:ascii="宋体" w:hAnsi="宋体" w:cs="宋体"/>
          <w:color w:val="000000"/>
          <w:kern w:val="0"/>
          <w:sz w:val="24"/>
          <w:szCs w:val="20"/>
          <w:highlight w:val="none"/>
          <w:lang w:val="en-US" w:eastAsia="zh-CN"/>
        </w:rPr>
        <w:t>21</w:t>
      </w:r>
      <w:r>
        <w:rPr>
          <w:rFonts w:hint="eastAsia" w:ascii="宋体" w:hAnsi="宋体" w:cs="宋体"/>
          <w:color w:val="000000"/>
          <w:kern w:val="0"/>
          <w:sz w:val="24"/>
          <w:szCs w:val="20"/>
          <w:highlight w:val="none"/>
          <w:lang w:eastAsia="zh-CN"/>
        </w:rPr>
        <w:t>年1月至202</w:t>
      </w:r>
      <w:r>
        <w:rPr>
          <w:rFonts w:hint="eastAsia" w:ascii="宋体" w:hAnsi="宋体" w:cs="宋体"/>
          <w:color w:val="000000"/>
          <w:kern w:val="0"/>
          <w:sz w:val="24"/>
          <w:szCs w:val="20"/>
          <w:highlight w:val="none"/>
          <w:lang w:val="en-US" w:eastAsia="zh-CN"/>
        </w:rPr>
        <w:t>3</w:t>
      </w:r>
      <w:r>
        <w:rPr>
          <w:rFonts w:hint="eastAsia" w:ascii="宋体" w:hAnsi="宋体" w:cs="宋体"/>
          <w:color w:val="000000"/>
          <w:kern w:val="0"/>
          <w:sz w:val="24"/>
          <w:szCs w:val="20"/>
          <w:highlight w:val="none"/>
          <w:lang w:eastAsia="zh-CN"/>
        </w:rPr>
        <w:t>年</w:t>
      </w:r>
      <w:r>
        <w:rPr>
          <w:rFonts w:hint="eastAsia" w:ascii="宋体" w:hAnsi="宋体" w:cs="宋体"/>
          <w:color w:val="000000"/>
          <w:kern w:val="0"/>
          <w:sz w:val="24"/>
          <w:szCs w:val="20"/>
          <w:highlight w:val="none"/>
          <w:lang w:val="en-US" w:eastAsia="zh-CN"/>
        </w:rPr>
        <w:t>12</w:t>
      </w:r>
      <w:r>
        <w:rPr>
          <w:rFonts w:hint="eastAsia" w:ascii="宋体" w:hAnsi="宋体" w:cs="宋体"/>
          <w:color w:val="000000"/>
          <w:kern w:val="0"/>
          <w:sz w:val="24"/>
          <w:szCs w:val="20"/>
          <w:highlight w:val="none"/>
          <w:lang w:eastAsia="zh-CN"/>
        </w:rPr>
        <w:t>月) 自来水或污水自控设备供货安装调试项目类似业绩3个（中标通知书、施工合同、竣工验收证书）并提供网上中标公示截图；</w:t>
      </w:r>
    </w:p>
    <w:p>
      <w:pPr>
        <w:spacing w:line="480" w:lineRule="exact"/>
        <w:ind w:firstLine="480" w:firstLineChars="200"/>
        <w:jc w:val="lef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szCs w:val="24"/>
          <w:highlight w:val="none"/>
          <w:shd w:val="clear" w:color="auto" w:fill="FFFFFF"/>
          <w14:textFill>
            <w14:solidFill>
              <w14:schemeClr w14:val="tx1">
                <w14:lumMod w14:val="95000"/>
                <w14:lumOff w14:val="5000"/>
              </w14:schemeClr>
            </w14:solidFill>
          </w14:textFill>
        </w:rPr>
        <w:t>投标声明函（格式详见招标文件第五章）</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p>
    <w:p>
      <w:pPr>
        <w:spacing w:line="400" w:lineRule="exact"/>
        <w:ind w:firstLine="480" w:firstLineChars="200"/>
        <w:rPr>
          <w:rFonts w:ascii="宋体" w:hAnsi="宋体" w:cs="宋体"/>
          <w:sz w:val="24"/>
          <w:highlight w:val="none"/>
        </w:rPr>
      </w:pPr>
      <w:r>
        <w:rPr>
          <w:rFonts w:hint="eastAsia" w:ascii="宋体" w:hAnsi="宋体" w:cs="宋体"/>
          <w:sz w:val="24"/>
          <w:highlight w:val="none"/>
          <w:lang w:val="en-US" w:eastAsia="zh-CN"/>
        </w:rPr>
        <w:t>8</w:t>
      </w:r>
      <w:r>
        <w:rPr>
          <w:rFonts w:hint="eastAsia" w:ascii="宋体" w:hAnsi="宋体" w:cs="宋体"/>
          <w:sz w:val="24"/>
          <w:highlight w:val="none"/>
        </w:rPr>
        <w:t>、本项目不接受联合体投标。</w:t>
      </w:r>
    </w:p>
    <w:p>
      <w:pPr>
        <w:pStyle w:val="17"/>
        <w:spacing w:after="0" w:line="480" w:lineRule="exact"/>
        <w:ind w:firstLine="482" w:firstLineChars="200"/>
        <w:rPr>
          <w:rFonts w:ascii="宋体"/>
          <w:b/>
          <w:bCs/>
          <w:color w:val="0D0D0D" w:themeColor="text1" w:themeTint="F2"/>
          <w:kern w:val="0"/>
          <w:sz w:val="24"/>
          <w:szCs w:val="24"/>
          <w:highlight w:val="none"/>
          <w:u w:val="single"/>
          <w14:textFill>
            <w14:solidFill>
              <w14:schemeClr w14:val="tx1">
                <w14:lumMod w14:val="95000"/>
                <w14:lumOff w14:val="5000"/>
              </w14:schemeClr>
            </w14:solidFill>
          </w14:textFill>
        </w:rPr>
      </w:pPr>
      <w:r>
        <w:rPr>
          <w:rFonts w:hint="eastAsia" w:ascii="宋体" w:hAnsi="宋体" w:cs="宋体"/>
          <w:b/>
          <w:bCs/>
          <w:color w:val="0D0D0D" w:themeColor="text1" w:themeTint="F2"/>
          <w:kern w:val="0"/>
          <w:sz w:val="24"/>
          <w:szCs w:val="24"/>
          <w:highlight w:val="none"/>
          <w:u w:val="single"/>
          <w14:textFill>
            <w14:solidFill>
              <w14:schemeClr w14:val="tx1">
                <w14:lumMod w14:val="95000"/>
                <w14:lumOff w14:val="5000"/>
              </w14:schemeClr>
            </w14:solidFill>
          </w14:textFill>
        </w:rPr>
        <w:t>价格标部分</w:t>
      </w:r>
      <w:r>
        <w:rPr>
          <w:rFonts w:ascii="宋体" w:hAnsi="宋体" w:cs="宋体"/>
          <w:b/>
          <w:bCs/>
          <w:color w:val="0D0D0D" w:themeColor="text1" w:themeTint="F2"/>
          <w:kern w:val="0"/>
          <w:sz w:val="24"/>
          <w:szCs w:val="24"/>
          <w:highlight w:val="none"/>
          <w:u w:val="single"/>
          <w14:textFill>
            <w14:solidFill>
              <w14:schemeClr w14:val="tx1">
                <w14:lumMod w14:val="95000"/>
                <w14:lumOff w14:val="5000"/>
              </w14:schemeClr>
            </w14:solidFill>
          </w14:textFill>
        </w:rPr>
        <w:t>:</w:t>
      </w:r>
    </w:p>
    <w:p>
      <w:pPr>
        <w:spacing w:line="480" w:lineRule="exact"/>
        <w:ind w:firstLine="48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仿宋" w:hAnsi="仿宋" w:cs="仿宋"/>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投标函；</w:t>
      </w:r>
    </w:p>
    <w:p>
      <w:pPr>
        <w:spacing w:line="480" w:lineRule="exact"/>
        <w:ind w:firstLine="480"/>
        <w:rPr>
          <w:rFonts w:ascii="仿宋" w:eastAsia="仿宋"/>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2、明细报价一览表。</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（二）投标人应当使用本招标文件提供的投标文件表式，表式可以按同样格式进行扩展。</w:t>
      </w:r>
    </w:p>
    <w:p>
      <w:pPr>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三</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投标报价</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1、本项目不接受任何有选择的报价。</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2、投标报价均以人民币为报价的货币单位。</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、报价表必须加盖投标人公章且必须经法定代表人或被委托授权人签署。</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、报价出现前后不一致的，按照下列规定修正：</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（1）投标文件中报价表（报价单）内容与投标文件技术响应中内容明细不一致的，以报价表（报价单）为准；</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（2）投标文件中涉及大写金额和小写金额不一致的，以大写金额为准；</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（3）单价金额小数点或者百分比有明显错位的，以报价表（报价单）的总价为准，</w:t>
      </w:r>
    </w:p>
    <w:p>
      <w:pPr>
        <w:adjustRightInd w:val="0"/>
        <w:snapToGrid w:val="0"/>
        <w:spacing w:line="480" w:lineRule="exac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并修改单价；</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（4）总价金额与按单价汇总金额不一致的，以单价金额计算结果为准。</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同时出现两种以上不一致的，按照前款规定的顺序修正。修正后的报价应当由投标人的法定代表人或其授权的代表签字确认后产生约束力，投标人不确认的，其投标无效。</w:t>
      </w:r>
    </w:p>
    <w:p>
      <w:pPr>
        <w:adjustRightInd w:val="0"/>
        <w:snapToGrid w:val="0"/>
        <w:spacing w:line="480" w:lineRule="exact"/>
        <w:ind w:firstLine="480" w:firstLineChars="200"/>
        <w:rPr>
          <w:bCs/>
          <w:color w:val="000000"/>
          <w:sz w:val="24"/>
          <w:szCs w:val="24"/>
          <w:highlight w:val="none"/>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应根据招标人提供的项目需求，结合企业实际情况进行报价。投标人任何漏项、漏报、少报、错报所产生的后果，均由投标人承担责任。报价在合同有效期内（含质保期）不作调整。在合同实施期间不因市场价格浮动因素或其他政策性因素调整，投标人报价时充分考虑风险因素。投标单位的报价应包括</w:t>
      </w:r>
      <w:r>
        <w:rPr>
          <w:bCs/>
          <w:color w:val="000000"/>
          <w:sz w:val="24"/>
          <w:szCs w:val="24"/>
          <w:highlight w:val="none"/>
        </w:rPr>
        <w:t>全部设备、材料及随设备提供的备品备件及专用工具的价格、包装费、运杂费（运抵买方指定现场）、保险费、</w:t>
      </w:r>
      <w:r>
        <w:rPr>
          <w:rFonts w:hint="eastAsia"/>
          <w:bCs/>
          <w:color w:val="000000"/>
          <w:sz w:val="24"/>
          <w:szCs w:val="24"/>
          <w:highlight w:val="none"/>
        </w:rPr>
        <w:t>指导安装</w:t>
      </w:r>
      <w:r>
        <w:rPr>
          <w:bCs/>
          <w:color w:val="000000"/>
          <w:sz w:val="24"/>
          <w:szCs w:val="24"/>
          <w:highlight w:val="none"/>
        </w:rPr>
        <w:t>费、调试费、培训</w:t>
      </w:r>
      <w:r>
        <w:rPr>
          <w:rFonts w:hint="eastAsia"/>
          <w:bCs/>
          <w:color w:val="000000"/>
          <w:sz w:val="24"/>
          <w:szCs w:val="24"/>
          <w:highlight w:val="none"/>
        </w:rPr>
        <w:t>、招标代理费、中标服务费</w:t>
      </w:r>
      <w:r>
        <w:rPr>
          <w:bCs/>
          <w:color w:val="000000"/>
          <w:sz w:val="24"/>
          <w:szCs w:val="24"/>
          <w:highlight w:val="none"/>
        </w:rPr>
        <w:t>及投标人认为需要的其他费用等。在安装、调试、验收过程中，如发现有漏项、缺件，卖方应无条件、无偿补齐，所发生的一切费用，视为已包含在投标人的投标报价之中，且并不因此而影响交付买方使用的时间。</w:t>
      </w:r>
    </w:p>
    <w:p>
      <w:pPr>
        <w:pStyle w:val="58"/>
        <w:spacing w:line="480" w:lineRule="exact"/>
        <w:ind w:firstLine="520" w:firstLineChars="200"/>
        <w:rPr>
          <w:rFonts w:ascii="宋体" w:hAnsi="宋体" w:cs="宋体"/>
          <w:highlight w:val="none"/>
        </w:rPr>
      </w:pPr>
      <w:r>
        <w:rPr>
          <w:rFonts w:hint="eastAsia" w:ascii="宋体" w:hAnsi="宋体"/>
          <w:highlight w:val="none"/>
        </w:rPr>
        <w:t>6、报价以人民币计算，</w:t>
      </w:r>
      <w:r>
        <w:rPr>
          <w:rFonts w:hint="eastAsia" w:ascii="宋体" w:hAnsi="宋体" w:cs="宋体"/>
          <w:highlight w:val="none"/>
        </w:rPr>
        <w:t>投标报价为含税报价，开据的票据为可抵扣的增值税专用发票。</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7、本次招标设最高限价，低于最高限价的为有效报价，否则为废标。</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8</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、本次招标项目商务报价仅为一次报定商务价格，一旦中标即为成交价。</w:t>
      </w:r>
    </w:p>
    <w:p>
      <w:pPr>
        <w:adjustRightInd w:val="0"/>
        <w:snapToGrid w:val="0"/>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9、投标人在投标报价中未列入项目的价款，将被视为已包含在其他项目中；投标人明示未列入的报价项目，将被视为主动让利或优惠，一旦中标将来不得以此为由主张任何补偿或索赔。</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（四）投标担保</w:t>
      </w:r>
    </w:p>
    <w:p>
      <w:pPr>
        <w:adjustRightInd w:val="0"/>
        <w:snapToGrid w:val="0"/>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、投标人在递交投标文件的同时，应按规定的金额、形式递交投标保证金，并作为其投标文件的组成部分。</w:t>
      </w:r>
    </w:p>
    <w:p>
      <w:pPr>
        <w:adjustRightInd w:val="0"/>
        <w:snapToGrid w:val="0"/>
        <w:spacing w:line="480" w:lineRule="exact"/>
        <w:ind w:firstLine="482" w:firstLineChars="200"/>
        <w:rPr>
          <w:rFonts w:ascii="宋体" w:hAnsi="宋体" w:cs="宋体"/>
          <w:b/>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b/>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b/>
          <w:color w:val="0D0D0D" w:themeColor="text1" w:themeTint="F2"/>
          <w:sz w:val="24"/>
          <w:szCs w:val="24"/>
          <w:highlight w:val="none"/>
          <w14:textFill>
            <w14:solidFill>
              <w14:schemeClr w14:val="tx1">
                <w14:lumMod w14:val="95000"/>
                <w14:lumOff w14:val="5000"/>
              </w14:schemeClr>
            </w14:solidFill>
          </w14:textFill>
        </w:rPr>
        <w:t>、本项目投标保证金数额为</w:t>
      </w:r>
      <w:r>
        <w:rPr>
          <w:rFonts w:hint="eastAsia" w:ascii="宋体" w:hAnsi="宋体" w:cs="宋体"/>
          <w:b/>
          <w:color w:val="0D0D0D" w:themeColor="text1" w:themeTint="F2"/>
          <w:sz w:val="24"/>
          <w:szCs w:val="24"/>
          <w:highlight w:val="none"/>
          <w:lang w:val="en-US" w:eastAsia="zh-CN"/>
          <w14:textFill>
            <w14:solidFill>
              <w14:schemeClr w14:val="tx1">
                <w14:lumMod w14:val="95000"/>
                <w14:lumOff w14:val="5000"/>
              </w14:schemeClr>
            </w14:solidFill>
          </w14:textFill>
        </w:rPr>
        <w:t>15</w:t>
      </w:r>
      <w:r>
        <w:rPr>
          <w:rFonts w:hint="eastAsia" w:ascii="宋体" w:hAnsi="宋体" w:cs="宋体"/>
          <w:b/>
          <w:color w:val="0D0D0D" w:themeColor="text1" w:themeTint="F2"/>
          <w:sz w:val="24"/>
          <w:szCs w:val="24"/>
          <w:highlight w:val="none"/>
          <w14:textFill>
            <w14:solidFill>
              <w14:schemeClr w14:val="tx1">
                <w14:lumMod w14:val="95000"/>
                <w14:lumOff w14:val="5000"/>
              </w14:schemeClr>
            </w14:solidFill>
          </w14:textFill>
        </w:rPr>
        <w:t>00元整（现金），未按规定提交投标保证金的投标文件，招标人将按不符合性投标而予以拒绝。</w:t>
      </w:r>
    </w:p>
    <w:p>
      <w:pPr>
        <w:adjustRightInd w:val="0"/>
        <w:snapToGrid w:val="0"/>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、保证金的退还：未中标的投标人的投标保证金将现场退还（无息）。中标人的投标保证金，在签署合同后无息退还。</w:t>
      </w:r>
    </w:p>
    <w:p>
      <w:pPr>
        <w:spacing w:line="480" w:lineRule="exact"/>
        <w:ind w:firstLine="525"/>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4</w:t>
      </w:r>
      <w:r>
        <w:rPr>
          <w:rFonts w:hint="eastAsia"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、投标人出现下列情况，经评标委员会核实后，招标人有权取消其中标资格，并没收其投标保证金。</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w:t>
      </w:r>
      <w:r>
        <w:rPr>
          <w:rFonts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1</w:t>
      </w:r>
      <w:r>
        <w:rPr>
          <w:rFonts w:hint="eastAsia"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）投标人在投标有效期内撤回其投标文件；</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w:t>
      </w:r>
      <w:r>
        <w:rPr>
          <w:rFonts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2</w:t>
      </w:r>
      <w:r>
        <w:rPr>
          <w:rFonts w:hint="eastAsia"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）中标人无正当理由拒绝签订合同；</w:t>
      </w:r>
    </w:p>
    <w:p>
      <w:pPr>
        <w:widowControl/>
        <w:tabs>
          <w:tab w:val="left" w:pos="0"/>
          <w:tab w:val="left" w:pos="993"/>
          <w:tab w:val="left" w:pos="1134"/>
        </w:tabs>
        <w:adjustRightInd w:val="0"/>
        <w:snapToGrid w:val="0"/>
        <w:spacing w:line="480" w:lineRule="exact"/>
        <w:ind w:firstLine="480" w:firstLineChars="200"/>
        <w:jc w:val="left"/>
        <w:rPr>
          <w:rFonts w:ascii="宋体" w:cs="宋体"/>
          <w:snapToGrid w:val="0"/>
          <w:color w:val="0D0D0D" w:themeColor="text1" w:themeTint="F2"/>
          <w:kern w:val="0"/>
          <w:sz w:val="24"/>
          <w:szCs w:val="24"/>
          <w:highlight w:val="none"/>
          <w14:textFill>
            <w14:solidFill>
              <w14:schemeClr w14:val="tx1">
                <w14:lumMod w14:val="95000"/>
                <w14:lumOff w14:val="5000"/>
              </w14:schemeClr>
            </w14:solidFill>
          </w14:textFill>
        </w:rPr>
      </w:pPr>
      <w:r>
        <w:rPr>
          <w:rFonts w:hint="eastAsia"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w:t>
      </w:r>
      <w:r>
        <w:rPr>
          <w:rFonts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3</w:t>
      </w:r>
      <w:r>
        <w:rPr>
          <w:rFonts w:hint="eastAsia" w:ascii="宋体" w:hAnsi="宋体" w:cs="宋体"/>
          <w:snapToGrid w:val="0"/>
          <w:color w:val="0D0D0D" w:themeColor="text1" w:themeTint="F2"/>
          <w:kern w:val="0"/>
          <w:sz w:val="24"/>
          <w:szCs w:val="24"/>
          <w:highlight w:val="none"/>
          <w14:textFill>
            <w14:solidFill>
              <w14:schemeClr w14:val="tx1">
                <w14:lumMod w14:val="95000"/>
                <w14:lumOff w14:val="5000"/>
              </w14:schemeClr>
            </w14:solidFill>
          </w14:textFill>
        </w:rPr>
        <w:t>）中标人未能在招标文件规定的期限内提交履约担保。</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（五）投标文件的份数和签署</w:t>
      </w:r>
    </w:p>
    <w:p>
      <w:pPr>
        <w:spacing w:line="480" w:lineRule="exact"/>
        <w:ind w:firstLine="480" w:firstLineChars="200"/>
        <w:jc w:val="left"/>
        <w:rPr>
          <w:rFonts w:ascii="宋体" w:hAnsi="宋体" w:cs="宋体"/>
          <w:b/>
          <w:color w:val="0D0D0D" w:themeColor="text1" w:themeTint="F2"/>
          <w:sz w:val="24"/>
          <w:szCs w:val="24"/>
          <w:highlight w:val="none"/>
          <w:u w:val="singl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、投标人应按招标文件的规定，向招标单位提交</w:t>
      </w:r>
      <w:r>
        <w:rPr>
          <w:rFonts w:hint="eastAsia" w:ascii="宋体" w:hAnsi="宋体" w:cs="宋体"/>
          <w:b/>
          <w:color w:val="0D0D0D" w:themeColor="text1" w:themeTint="F2"/>
          <w:sz w:val="24"/>
          <w:szCs w:val="24"/>
          <w:highlight w:val="none"/>
          <w:u w:val="single"/>
          <w14:textFill>
            <w14:solidFill>
              <w14:schemeClr w14:val="tx1">
                <w14:lumMod w14:val="95000"/>
                <w14:lumOff w14:val="5000"/>
              </w14:schemeClr>
            </w14:solidFill>
          </w14:textFill>
        </w:rPr>
        <w:t>三份纸质投标文件</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b/>
          <w:bCs/>
          <w:color w:val="0D0D0D" w:themeColor="text1" w:themeTint="F2"/>
          <w:sz w:val="24"/>
          <w:szCs w:val="24"/>
          <w:highlight w:val="none"/>
          <w:u w:val="single"/>
          <w14:textFill>
            <w14:solidFill>
              <w14:schemeClr w14:val="tx1">
                <w14:lumMod w14:val="95000"/>
                <w14:lumOff w14:val="5000"/>
              </w14:schemeClr>
            </w14:solidFill>
          </w14:textFill>
        </w:rPr>
        <w:t>包括资格审查文件、价格标文件</w:t>
      </w:r>
      <w:r>
        <w:rPr>
          <w:rFonts w:hint="eastAsia" w:ascii="宋体" w:hAnsi="宋体" w:cs="宋体"/>
          <w:color w:val="0D0D0D" w:themeColor="text1" w:themeTint="F2"/>
          <w:sz w:val="24"/>
          <w:szCs w:val="24"/>
          <w:highlight w:val="none"/>
          <w:u w:val="singl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，其中正本一份、副本二份，并在（</w:t>
      </w:r>
      <w:r>
        <w:rPr>
          <w:rFonts w:hint="eastAsia" w:ascii="宋体" w:hAnsi="宋体" w:cs="宋体"/>
          <w:b/>
          <w:bCs/>
          <w:color w:val="0D0D0D" w:themeColor="text1" w:themeTint="F2"/>
          <w:sz w:val="24"/>
          <w:szCs w:val="24"/>
          <w:highlight w:val="none"/>
          <w:u w:val="single"/>
          <w14:textFill>
            <w14:solidFill>
              <w14:schemeClr w14:val="tx1">
                <w14:lumMod w14:val="95000"/>
                <w14:lumOff w14:val="5000"/>
              </w14:schemeClr>
            </w14:solidFill>
          </w14:textFill>
        </w:rPr>
        <w:t>资格审查文件、价格标文件</w:t>
      </w:r>
      <w:r>
        <w:rPr>
          <w:rFonts w:hint="eastAsia" w:ascii="宋体" w:hAnsi="宋体" w:cs="宋体"/>
          <w:color w:val="0D0D0D" w:themeColor="text1" w:themeTint="F2"/>
          <w:sz w:val="24"/>
          <w:szCs w:val="24"/>
          <w:highlight w:val="none"/>
          <w:u w:val="singl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封面上注明“正本”或“副本”字样，当正本与副本不一致时，以正本为准；</w:t>
      </w:r>
      <w:r>
        <w:rPr>
          <w:rFonts w:hint="eastAsia" w:ascii="宋体" w:hAnsi="宋体" w:cs="宋体"/>
          <w:b/>
          <w:color w:val="0D0D0D" w:themeColor="text1" w:themeTint="F2"/>
          <w:sz w:val="24"/>
          <w:szCs w:val="24"/>
          <w:highlight w:val="none"/>
          <w:u w:val="single"/>
          <w14:textFill>
            <w14:solidFill>
              <w14:schemeClr w14:val="tx1">
                <w14:lumMod w14:val="95000"/>
                <w14:lumOff w14:val="5000"/>
              </w14:schemeClr>
            </w14:solidFill>
          </w14:textFill>
        </w:rPr>
        <w:t>（</w:t>
      </w:r>
      <w:r>
        <w:rPr>
          <w:rFonts w:hint="eastAsia" w:ascii="宋体" w:hAnsi="宋体" w:cs="宋体"/>
          <w:b/>
          <w:bCs/>
          <w:color w:val="0D0D0D" w:themeColor="text1" w:themeTint="F2"/>
          <w:sz w:val="24"/>
          <w:szCs w:val="24"/>
          <w:highlight w:val="none"/>
          <w:u w:val="single"/>
          <w14:textFill>
            <w14:solidFill>
              <w14:schemeClr w14:val="tx1">
                <w14:lumMod w14:val="95000"/>
                <w14:lumOff w14:val="5000"/>
              </w14:schemeClr>
            </w14:solidFill>
          </w14:textFill>
        </w:rPr>
        <w:t>资格审查文件、价格标文件</w:t>
      </w:r>
      <w:r>
        <w:rPr>
          <w:rFonts w:hint="eastAsia" w:ascii="宋体" w:hAnsi="宋体" w:cs="宋体"/>
          <w:b/>
          <w:color w:val="0D0D0D" w:themeColor="text1" w:themeTint="F2"/>
          <w:sz w:val="24"/>
          <w:szCs w:val="24"/>
          <w:highlight w:val="none"/>
          <w:u w:val="single"/>
          <w14:textFill>
            <w14:solidFill>
              <w14:schemeClr w14:val="tx1">
                <w14:lumMod w14:val="95000"/>
                <w14:lumOff w14:val="5000"/>
              </w14:schemeClr>
            </w14:solidFill>
          </w14:textFill>
        </w:rPr>
        <w:t>）封面上还应注明项目名称并加盖投标单位公章、法定代表人签字或印鉴或委托代理人签字。</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、投标文件正副本均应使用</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A4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纸统一装订，且均应使用不能擦去的墨水书写或打印，按要求在投标文件上加盖投标人单位公章并由法定代表人签字或盖章或由委托代理人签字。</w:t>
      </w:r>
    </w:p>
    <w:p>
      <w:pPr>
        <w:spacing w:line="480" w:lineRule="exact"/>
        <w:ind w:firstLine="480" w:firstLineChars="200"/>
        <w:jc w:val="left"/>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、全套投标文件应无修改和行间插字，除非这些修改是根据“招标文件修改通知”的要求进行的，或者是投标人明显笔误必须修改的。不论何种原因造成涂改、插字和删除，都应由投标文件签署人加盖印鉴。</w:t>
      </w:r>
    </w:p>
    <w:p>
      <w:pPr>
        <w:spacing w:line="480" w:lineRule="exact"/>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四、投标文件的递交</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（一）投标文件的密封与标志</w:t>
      </w:r>
    </w:p>
    <w:p>
      <w:pPr>
        <w:spacing w:line="480" w:lineRule="exact"/>
        <w:ind w:firstLine="482"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24"/>
          <w:szCs w:val="24"/>
          <w:highlight w:val="none"/>
          <w:u w:val="single"/>
          <w14:textFill>
            <w14:solidFill>
              <w14:schemeClr w14:val="tx1">
                <w14:lumMod w14:val="95000"/>
                <w14:lumOff w14:val="5000"/>
              </w14:schemeClr>
            </w14:solidFill>
          </w14:textFill>
        </w:rPr>
        <w:t>投标文件中的资格审查文件、价格标文件这两部分必须分开单独密封；“正本”或“副本”可分开密封，也可统一密封；所有封袋上</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都应写明招标人名称、项目名称、投标单位名称，</w:t>
      </w:r>
      <w:r>
        <w:rPr>
          <w:rFonts w:hint="eastAsia" w:ascii="宋体" w:hAnsi="宋体" w:cs="宋体"/>
          <w:b/>
          <w:bCs/>
          <w:color w:val="0D0D0D" w:themeColor="text1" w:themeTint="F2"/>
          <w:sz w:val="24"/>
          <w:szCs w:val="24"/>
          <w:highlight w:val="none"/>
          <w:u w:val="single"/>
          <w14:textFill>
            <w14:solidFill>
              <w14:schemeClr w14:val="tx1">
                <w14:lumMod w14:val="95000"/>
                <w14:lumOff w14:val="5000"/>
              </w14:schemeClr>
            </w14:solidFill>
          </w14:textFill>
        </w:rPr>
        <w:t>并注明“资格审查文件”或 “价格标文件”</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并加盖投标单位公章、法定代表人签字或印鉴或委托代理人签字。</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（二）投标截止期</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、投标人应在投标须知前附表中规定的投标截止时间之前将投标文件递交到指定地点并在登记表上签字。招标人在接到投标文件时将投标文件注明收到的日期和时间。</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、招标人可以按本文件第（七）条规定以修改通知的方式，酌情延长递交投标文件的截止日期。在上述情况下，招标人与投标人以前的投标截止期方面的全部权力、责任和义务，将适用于延长后新的投标截止期。</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、超过投标截止期送达的投标文件将被拒绝并原封退给投标人。</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、提交投标文件的投标人少于三个的，招标人将依法重新招标。</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（三）投标文件的修改与撤回</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、投标人可以在递交投标文件以后，在规定的投标截止期之前，以书面形式向招标人递交修改或撤回其投标文件的通知。在投标截止期以后，不得更改投标文件。</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、投标人的修改或撤回通知，应按本文件第一、二条规定的要求编制、密封、标志和递交（密封袋上应标明“修改”或“撤回”字样）。</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、投标截止以后，在投标有效期内，投标人不得撤回投标文件，否则其投标保证金将被没收。</w:t>
      </w:r>
    </w:p>
    <w:p>
      <w:pPr>
        <w:spacing w:line="480" w:lineRule="exact"/>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五、开标、评标、定标</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（一）开标</w:t>
      </w:r>
    </w:p>
    <w:p>
      <w:pPr>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、开标由招标人或招标代理机构主持，邀请所有投标人参加。</w:t>
      </w:r>
    </w:p>
    <w:p>
      <w:pPr>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、法人代表或授权委托人须在本招标文件规定的时间、地点准时参加开标会，并出示身份证原件后签名以示出席，否则，其投标将被拒绝。</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开标时，由投标人推选的代表或招标人委托的监督机构检查投标文件的密封情况，经确认无误后，由工作人员当众拆封，宣读投标人名称、投标价、项目负责人姓名和其他招标人认为有必要的内容。投标文件未按照招标文件的要求予以密封的，将作为无效投标文件，退回投标人。</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、招标人在招标文件要求提交投标文件的截止时间前收到的投标文件，开标时都将当众予以拆封、宣读、记录。</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、在开标时，投标文件出现下列情况之一的，将作为无效投标文件，不得进入评标：</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）投标文件未按照招标文件要求予以密封和标志的；</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）投标文件中的投标书未加盖投标人的企业公章及企业法定代表人或授权委托人签字的，或者企业法定代表人的委托代理人没有合法、有效的委托书（原件）的；</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）投标文件的关键内容字迹模糊、无法辨认的；</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）投标人未按照招标文件的要求提供投标保证金的；</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）投标截止时间以后送达的投标文件。</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（二）评标</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、评标工作</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评标工作由招标人依法组建的评标委员会组织进行。</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、评标标准与方法：</w:t>
      </w:r>
      <w:r>
        <w:rPr>
          <w:rFonts w:hint="eastAsia"/>
          <w:b/>
          <w:sz w:val="24"/>
          <w:highlight w:val="none"/>
        </w:rPr>
        <w:t>最低投标价法</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（三）投标文件的澄清</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为了有助于投标文件的审查、评价和比较，评标委员会可以书面方式要求投标人对投标文件中含义的不明确、以及同类问题表述不一致或者有明显文字和计算错误的内容作必要的澄清、说明或者补正。投标人的澄清、说明或者补正应以书面方式进行，并不得超出投标文件的范围或者改变投标文件的实质性内容。</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、投标文件中的大写金额和小写金额不一致时，以大写金额为准；总价金额与单价金额不一致时，以单价金额为准，但单价金额小数点有明显错误的除外。</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（四）在评标过程中，评标委员会若发现投标人以他人名义投标、串通投标、以行贿手段谋取中标或者以其他弄虚作假方式投标的，该投标人的投标将作无效标处理。</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（五）投标人资格条件不符合国家有关规定和招标文件要求的，或者拒不按照要求对投标文件进行澄清、说明或补正的，评标委员会可以否决其投标。</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（六）评标委员会将审查每一投标文件是否对招标文件提出的所有实质性要求和条件做出响应。未能在实质上响应的投标，将作无效标处理。</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（七）投标文件有下列情形之一的，属于重大偏差，视为未能对招标文件做出实质性响应，并按前条规定作无效标处理：</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、投标文件没有投标单位法定代表人或委托代理人签字或加盖印鉴；</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、投标文件载明的招标项目完成期限超过招标文件规定的期限；</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、明显不符合技术规格、技术标准的要求；</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、投标文件载明的检验标准和方法等不符合招标文件的要求；</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、投标文件附有招标人不能接受的条件；</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6</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、不符合招标文件中规定的其他实质性要求；</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、投标报价超过招标控制价的；</w:t>
      </w:r>
    </w:p>
    <w:p>
      <w:pPr>
        <w:tabs>
          <w:tab w:val="left" w:pos="6264"/>
        </w:tabs>
        <w:snapToGrid w:val="0"/>
        <w:spacing w:line="480" w:lineRule="exact"/>
        <w:ind w:firstLine="482" w:firstLineChars="200"/>
        <w:jc w:val="left"/>
        <w:rPr>
          <w:rFonts w:ascii="宋体" w:cs="宋体"/>
          <w:b/>
          <w:bCs/>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24"/>
          <w:szCs w:val="24"/>
          <w:highlight w:val="none"/>
          <w14:textFill>
            <w14:solidFill>
              <w14:schemeClr w14:val="tx1">
                <w14:lumMod w14:val="95000"/>
                <w14:lumOff w14:val="5000"/>
              </w14:schemeClr>
            </w14:solidFill>
          </w14:textFill>
        </w:rPr>
        <w:t>招标文件未列明的无效标条款，不作为否决投标、判定无效标的依据。</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评标委员会根据规定否决不合格投标或界定为废标后，因有效投标不足三个使得投标明显缺乏竞争的，评标委员会可以否决全部投标。所有投标被否决的，招标人依法重新招标。</w:t>
      </w:r>
    </w:p>
    <w:p>
      <w:pPr>
        <w:spacing w:line="48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八）评标和定标将在投标有效期结束日前完成。不能在投标有效期结束日前完成评标和定标的，招标人将通知所有投标人延长投标有效期。拒绝延长投标有效期的投标人有权收回投标保证金。同意延长投标有效期的投标人应当相应延长其投标担保的有效期，但不得修改投标文件的实质性内容。因延长投标有效期造成投标人损失的，招标人将给予补偿，但因不可抗力需延长投标有效期的除外。</w:t>
      </w:r>
    </w:p>
    <w:p>
      <w:pPr>
        <w:spacing w:line="480" w:lineRule="exact"/>
        <w:ind w:left="-540" w:leftChars="-257" w:firstLine="723" w:firstLineChars="225"/>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六、授予合同</w:t>
      </w:r>
    </w:p>
    <w:p>
      <w:pPr>
        <w:spacing w:line="480" w:lineRule="exact"/>
        <w:ind w:left="-540" w:leftChars="-257" w:firstLine="1140" w:firstLineChars="475"/>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（一）中标</w:t>
      </w:r>
    </w:p>
    <w:p>
      <w:pPr>
        <w:spacing w:line="480" w:lineRule="exact"/>
        <w:ind w:left="-61" w:leftChars="-29" w:firstLine="540" w:firstLineChars="225"/>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、确定中标单位后，招标人向中标单位发出中标通知书，并同时将中标结果通知所有未中标的投标人，中标通知书将成为合同的组成部分。</w:t>
      </w:r>
    </w:p>
    <w:p>
      <w:pPr>
        <w:spacing w:line="480" w:lineRule="exact"/>
        <w:ind w:left="-61" w:leftChars="-29" w:right="-334" w:rightChars="-159"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中标单位收到中标通知书后，应在中标通知书规定的时间内与招标人签订合同。中标人不按前规定与招标人订立合同的，投标保证金不予退还并取消中标资格，给招标人造成的损失超过投标保证金数额的，应当对超过部分予以赔偿。</w:t>
      </w:r>
    </w:p>
    <w:p>
      <w:pPr>
        <w:snapToGrid w:val="0"/>
        <w:spacing w:line="420" w:lineRule="exact"/>
        <w:ind w:firstLine="496" w:firstLineChars="206"/>
        <w:outlineLvl w:val="1"/>
        <w:rPr>
          <w:rFonts w:asciiTheme="majorEastAsia" w:hAnsiTheme="majorEastAsia" w:eastAsiaTheme="majorEastAsia"/>
          <w:b/>
          <w:color w:val="0D0D0D" w:themeColor="text1" w:themeTint="F2"/>
          <w:sz w:val="24"/>
          <w:szCs w:val="24"/>
          <w:highlight w:val="none"/>
          <w14:textFill>
            <w14:solidFill>
              <w14:schemeClr w14:val="tx1">
                <w14:lumMod w14:val="95000"/>
                <w14:lumOff w14:val="5000"/>
              </w14:schemeClr>
            </w14:solidFill>
          </w14:textFill>
        </w:rPr>
      </w:pPr>
      <w:r>
        <w:rPr>
          <w:rFonts w:hint="eastAsia" w:asciiTheme="majorEastAsia" w:hAnsiTheme="majorEastAsia" w:eastAsiaTheme="majorEastAsia"/>
          <w:b/>
          <w:color w:val="0D0D0D" w:themeColor="text1" w:themeTint="F2"/>
          <w:sz w:val="24"/>
          <w:szCs w:val="24"/>
          <w:highlight w:val="none"/>
          <w14:textFill>
            <w14:solidFill>
              <w14:schemeClr w14:val="tx1">
                <w14:lumMod w14:val="95000"/>
                <w14:lumOff w14:val="5000"/>
              </w14:schemeClr>
            </w14:solidFill>
          </w14:textFill>
        </w:rPr>
        <w:t>（二）履约保证金</w:t>
      </w:r>
    </w:p>
    <w:p>
      <w:pPr>
        <w:snapToGrid w:val="0"/>
        <w:spacing w:line="420" w:lineRule="exact"/>
        <w:ind w:firstLine="480" w:firstLineChars="200"/>
        <w:rPr>
          <w:rFonts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t>1、本项目中标后的履约</w:t>
      </w:r>
      <w:r>
        <w:rPr>
          <w:rFonts w:hint="eastAsia" w:asciiTheme="majorEastAsia" w:hAnsiTheme="majorEastAsia" w:eastAsiaTheme="majorEastAsia"/>
          <w:bCs/>
          <w:color w:val="0D0D0D" w:themeColor="text1" w:themeTint="F2"/>
          <w:sz w:val="24"/>
          <w:szCs w:val="24"/>
          <w:highlight w:val="none"/>
          <w14:textFill>
            <w14:solidFill>
              <w14:schemeClr w14:val="tx1">
                <w14:lumMod w14:val="95000"/>
                <w14:lumOff w14:val="5000"/>
              </w14:schemeClr>
            </w14:solidFill>
          </w14:textFill>
        </w:rPr>
        <w:t>保证金</w:t>
      </w:r>
      <w:r>
        <w:rPr>
          <w:rFonts w:hint="eastAsia"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t>为项目合同总价款的</w:t>
      </w:r>
      <w:r>
        <w:rPr>
          <w:rFonts w:hint="eastAsia" w:asciiTheme="majorEastAsia" w:hAnsiTheme="majorEastAsia" w:eastAsiaTheme="majorEastAsia"/>
          <w:b/>
          <w:bCs/>
          <w:color w:val="0D0D0D" w:themeColor="text1" w:themeTint="F2"/>
          <w:sz w:val="24"/>
          <w:szCs w:val="24"/>
          <w:highlight w:val="none"/>
          <w:u w:val="single"/>
          <w:lang w:val="zh-CN"/>
          <w14:textFill>
            <w14:solidFill>
              <w14:schemeClr w14:val="tx1">
                <w14:lumMod w14:val="95000"/>
                <w14:lumOff w14:val="5000"/>
              </w14:schemeClr>
            </w14:solidFill>
          </w14:textFill>
        </w:rPr>
        <w:t xml:space="preserve">10%  </w:t>
      </w:r>
      <w:r>
        <w:rPr>
          <w:rFonts w:hint="eastAsia"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t>。</w:t>
      </w:r>
    </w:p>
    <w:p>
      <w:pPr>
        <w:snapToGrid w:val="0"/>
        <w:spacing w:line="420" w:lineRule="exact"/>
        <w:ind w:firstLine="480" w:firstLineChars="200"/>
        <w:rPr>
          <w:rFonts w:asciiTheme="majorEastAsia" w:hAnsiTheme="majorEastAsia" w:eastAsiaTheme="majorEastAsia"/>
          <w:color w:val="0D0D0D" w:themeColor="text1" w:themeTint="F2"/>
          <w:sz w:val="24"/>
          <w:szCs w:val="24"/>
          <w:highlight w:val="none"/>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t>2、在中标通知书发出签收后30日内，中标人凭“中标通知书”和已经汇至招标人账上的“履约保证金”凭证，与招标人签订合同，超期或未有协商，则视为自动放弃中标资格。</w:t>
      </w:r>
    </w:p>
    <w:p>
      <w:pPr>
        <w:snapToGrid w:val="0"/>
        <w:spacing w:line="420" w:lineRule="exact"/>
        <w:ind w:firstLine="480" w:firstLineChars="200"/>
        <w:rPr>
          <w:rFonts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t>3、中标人按要求保质保量的完成服务任务，通过招标人考核并提交合同约定的资料后，招标人一次性无息退还履约保证金。</w:t>
      </w:r>
    </w:p>
    <w:p>
      <w:pPr>
        <w:snapToGrid w:val="0"/>
        <w:spacing w:line="420" w:lineRule="exact"/>
        <w:ind w:firstLine="480" w:firstLineChars="200"/>
        <w:rPr>
          <w:rFonts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pPr>
      <w:r>
        <w:rPr>
          <w:rFonts w:hint="eastAsia" w:asciiTheme="majorEastAsia" w:hAnsiTheme="majorEastAsia" w:eastAsiaTheme="majorEastAsia"/>
          <w:bCs/>
          <w:color w:val="0D0D0D" w:themeColor="text1" w:themeTint="F2"/>
          <w:sz w:val="24"/>
          <w:szCs w:val="24"/>
          <w:highlight w:val="none"/>
          <w:lang w:val="zh-CN"/>
          <w14:textFill>
            <w14:solidFill>
              <w14:schemeClr w14:val="tx1">
                <w14:lumMod w14:val="95000"/>
                <w14:lumOff w14:val="5000"/>
              </w14:schemeClr>
            </w14:solidFill>
          </w14:textFill>
        </w:rPr>
        <w:t>4、由于中标人原因，在签订合同后出现不按合同履约的情况，招标人有权将履约保证金作为违约金，全额扣除并不予退还，同时采购人亦有权终止合同，中标人还须依法承担相应的赔偿责任。</w:t>
      </w:r>
    </w:p>
    <w:p>
      <w:pPr>
        <w:spacing w:line="480" w:lineRule="exact"/>
        <w:ind w:left="-540" w:leftChars="-257" w:right="-334" w:rightChars="-159" w:firstLine="960" w:firstLineChars="4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（三）合同签订</w:t>
      </w:r>
    </w:p>
    <w:p>
      <w:pPr>
        <w:spacing w:line="480" w:lineRule="exact"/>
        <w:ind w:firstLine="480" w:firstLineChars="200"/>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人与中标人将根据《中华人民共和国民法典》的规定，依据中标通知书及投标文件、标准合同文本订立合同，招标单位保留根据需要对合同文本进行进一步修改完善的权利，投标人必须对招标单位合同文本的修改完善认可。</w:t>
      </w: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spacing w:line="400" w:lineRule="exact"/>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p>
    <w:p>
      <w:pP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br w:type="page"/>
      </w:r>
    </w:p>
    <w:p>
      <w:pPr>
        <w:spacing w:line="400" w:lineRule="exact"/>
        <w:jc w:val="center"/>
        <w:rPr>
          <w:rFonts w:ascii="宋体"/>
          <w:b/>
          <w:bCs/>
          <w:color w:val="0D0D0D" w:themeColor="text1" w:themeTint="F2"/>
          <w:sz w:val="36"/>
          <w:szCs w:val="36"/>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t>第三章　评标办法</w:t>
      </w:r>
    </w:p>
    <w:p>
      <w:pPr>
        <w:widowControl/>
        <w:tabs>
          <w:tab w:val="left" w:pos="0"/>
          <w:tab w:val="left" w:pos="993"/>
          <w:tab w:val="left" w:pos="1134"/>
        </w:tabs>
        <w:adjustRightInd w:val="0"/>
        <w:snapToGrid w:val="0"/>
        <w:spacing w:line="400" w:lineRule="exact"/>
        <w:ind w:firstLine="360" w:firstLineChars="150"/>
        <w:rPr>
          <w:rFonts w:ascii="宋体" w:hAnsi="宋体" w:cs="Courier New"/>
          <w:sz w:val="24"/>
          <w:highlight w:val="none"/>
        </w:rPr>
      </w:pPr>
      <w:r>
        <w:rPr>
          <w:rFonts w:hint="eastAsia" w:ascii="宋体" w:hAnsi="宋体" w:cs="仿宋_GB2312"/>
          <w:bCs/>
          <w:sz w:val="24"/>
          <w:highlight w:val="none"/>
        </w:rPr>
        <w:t>（一）评标程序</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highlight w:val="none"/>
        </w:rPr>
      </w:pPr>
      <w:r>
        <w:rPr>
          <w:rFonts w:hint="eastAsia" w:ascii="宋体" w:hAnsi="宋体" w:cs="仿宋_GB2312"/>
          <w:bCs/>
          <w:sz w:val="24"/>
          <w:highlight w:val="none"/>
        </w:rPr>
        <w:t>1资格符合性评审——2价格标文件评审——3确定中标候选人。</w:t>
      </w:r>
    </w:p>
    <w:p>
      <w:pPr>
        <w:spacing w:line="400" w:lineRule="exact"/>
        <w:ind w:firstLine="480" w:firstLineChars="200"/>
        <w:rPr>
          <w:rFonts w:ascii="宋体" w:hAnsi="宋体" w:cs="仿宋_GB2312"/>
          <w:bCs/>
          <w:sz w:val="24"/>
          <w:szCs w:val="24"/>
          <w:highlight w:val="none"/>
        </w:rPr>
      </w:pPr>
      <w:r>
        <w:rPr>
          <w:rFonts w:hint="eastAsia" w:ascii="宋体" w:hAnsi="宋体" w:cs="仿宋_GB2312"/>
          <w:bCs/>
          <w:sz w:val="24"/>
          <w:highlight w:val="none"/>
        </w:rPr>
        <w:t>（二）</w:t>
      </w:r>
      <w:r>
        <w:rPr>
          <w:rFonts w:hint="eastAsia" w:ascii="宋体" w:hAnsi="宋体" w:cs="宋体"/>
          <w:bCs/>
          <w:sz w:val="24"/>
          <w:szCs w:val="24"/>
          <w:highlight w:val="none"/>
        </w:rPr>
        <w:t>评标委员会根据参加资格审查的投标人递交的资格后审证明文件，并按照本招标文件《资格审查标准》对投标人的资格进行审查。</w:t>
      </w:r>
    </w:p>
    <w:p>
      <w:pPr>
        <w:widowControl/>
        <w:tabs>
          <w:tab w:val="left" w:pos="0"/>
          <w:tab w:val="left" w:pos="993"/>
          <w:tab w:val="left" w:pos="1134"/>
        </w:tabs>
        <w:adjustRightInd w:val="0"/>
        <w:snapToGrid w:val="0"/>
        <w:spacing w:line="400" w:lineRule="exact"/>
        <w:ind w:firstLine="480" w:firstLineChars="200"/>
        <w:rPr>
          <w:rFonts w:ascii="宋体" w:hAnsi="宋体" w:cs="仿宋_GB2312"/>
          <w:bCs/>
          <w:sz w:val="24"/>
          <w:szCs w:val="24"/>
          <w:highlight w:val="none"/>
        </w:rPr>
      </w:pPr>
      <w:r>
        <w:rPr>
          <w:rFonts w:hint="eastAsia" w:ascii="宋体" w:hAnsi="宋体" w:cs="仿宋_GB2312"/>
          <w:bCs/>
          <w:sz w:val="24"/>
          <w:szCs w:val="24"/>
          <w:highlight w:val="none"/>
        </w:rPr>
        <w:t>本次资格审查采用合格制，各投标人资格审查通过后方能进入商务标文件评审。</w:t>
      </w:r>
    </w:p>
    <w:p>
      <w:pPr>
        <w:spacing w:line="400" w:lineRule="exact"/>
        <w:ind w:firstLine="480" w:firstLineChars="200"/>
        <w:rPr>
          <w:rFonts w:ascii="宋体" w:hAnsi="宋体"/>
          <w:color w:val="0D0D0D" w:themeColor="text1" w:themeTint="F2"/>
          <w:sz w:val="24"/>
          <w:highlight w:val="none"/>
          <w14:textFill>
            <w14:solidFill>
              <w14:schemeClr w14:val="tx1">
                <w14:lumMod w14:val="95000"/>
                <w14:lumOff w14:val="5000"/>
              </w14:schemeClr>
            </w14:solidFill>
          </w14:textFill>
        </w:rPr>
      </w:pPr>
      <w:r>
        <w:rPr>
          <w:rFonts w:hint="eastAsia" w:ascii="宋体" w:hAnsi="宋体"/>
          <w:color w:val="0D0D0D" w:themeColor="text1" w:themeTint="F2"/>
          <w:sz w:val="24"/>
          <w:highlight w:val="none"/>
          <w14:textFill>
            <w14:solidFill>
              <w14:schemeClr w14:val="tx1">
                <w14:lumMod w14:val="95000"/>
                <w14:lumOff w14:val="5000"/>
              </w14:schemeClr>
            </w14:solidFill>
          </w14:textFill>
        </w:rPr>
        <w:t xml:space="preserve">一、资格评审标准： </w:t>
      </w:r>
    </w:p>
    <w:tbl>
      <w:tblPr>
        <w:tblStyle w:val="20"/>
        <w:tblW w:w="9040" w:type="dxa"/>
        <w:tblCellSpacing w:w="0"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90"/>
        <w:gridCol w:w="2109"/>
        <w:gridCol w:w="3748"/>
        <w:gridCol w:w="26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序号</w:t>
            </w:r>
          </w:p>
        </w:tc>
        <w:tc>
          <w:tcPr>
            <w:tcW w:w="2109"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项目内容</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合格条件</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投标申请人具备</w:t>
            </w:r>
          </w:p>
          <w:p>
            <w:pPr>
              <w:widowControl/>
              <w:spacing w:line="280" w:lineRule="exact"/>
              <w:jc w:val="center"/>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的条件或说明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9" w:hRule="atLeas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Tahoma" w:hAnsi="Courier New"/>
                <w:color w:val="0D0D0D" w:themeColor="text1" w:themeTint="F2"/>
                <w:highlight w:val="none"/>
                <w14:textFill>
                  <w14:solidFill>
                    <w14:schemeClr w14:val="tx1">
                      <w14:lumMod w14:val="95000"/>
                      <w14:lumOff w14:val="5000"/>
                    </w14:schemeClr>
                  </w14:solidFill>
                </w14:textFill>
              </w:rPr>
            </w:pPr>
            <w:r>
              <w:rPr>
                <w:rFonts w:ascii="Tahoma" w:hAnsi="Courier New" w:cs="Tahoma"/>
                <w:color w:val="0D0D0D" w:themeColor="text1" w:themeTint="F2"/>
                <w:highlight w:val="none"/>
                <w14:textFill>
                  <w14:solidFill>
                    <w14:schemeClr w14:val="tx1">
                      <w14:lumMod w14:val="95000"/>
                      <w14:lumOff w14:val="5000"/>
                    </w14:schemeClr>
                  </w14:solidFill>
                </w14:textFill>
              </w:rPr>
              <w:t>1</w:t>
            </w:r>
          </w:p>
        </w:tc>
        <w:tc>
          <w:tcPr>
            <w:tcW w:w="2109" w:type="dxa"/>
            <w:tcBorders>
              <w:top w:val="outset" w:color="auto" w:sz="6" w:space="0"/>
              <w:left w:val="outset" w:color="auto" w:sz="6" w:space="0"/>
              <w:bottom w:val="outset" w:color="auto" w:sz="6" w:space="0"/>
              <w:right w:val="outset" w:color="auto" w:sz="6" w:space="0"/>
            </w:tcBorders>
            <w:vAlign w:val="center"/>
          </w:tcPr>
          <w:p>
            <w:pPr>
              <w:spacing w:line="360" w:lineRule="exact"/>
              <w:rPr>
                <w:rFonts w:ascii="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法人身份证明书或法人的授权委托书</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ascii="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法定代表人身份证明书、授权委托书原件并提供委托代理人的身份证复印件加盖公章；如企业法定代表人参与投标，无需授权委托书，请提供法定代表人身份证明书及法定代表人身份证复印件加盖公章</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ascii="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2</w:t>
            </w:r>
          </w:p>
        </w:tc>
        <w:tc>
          <w:tcPr>
            <w:tcW w:w="21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营业执照</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营业执照复印件加盖单位公章</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3</w:t>
            </w:r>
          </w:p>
        </w:tc>
        <w:tc>
          <w:tcPr>
            <w:tcW w:w="21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劳动合同及社会保险</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委托代理人（如有）与投标人签订的有效劳动合同及投标人为委托代理人缴纳的</w:t>
            </w:r>
            <w:r>
              <w:rPr>
                <w:rFonts w:hint="eastAsia" w:ascii="宋体" w:hAnsi="宋体" w:cs="宋体"/>
                <w:color w:val="0D0D0D" w:themeColor="text1" w:themeTint="F2"/>
                <w:highlight w:val="none"/>
                <w:lang w:eastAsia="zh-CN"/>
                <w14:textFill>
                  <w14:solidFill>
                    <w14:schemeClr w14:val="tx1">
                      <w14:lumMod w14:val="95000"/>
                      <w14:lumOff w14:val="5000"/>
                    </w14:schemeClr>
                  </w14:solidFill>
                </w14:textFill>
              </w:rPr>
              <w:t>2024</w:t>
            </w:r>
            <w:r>
              <w:rPr>
                <w:rFonts w:hint="eastAsia" w:ascii="宋体" w:hAnsi="宋体" w:cs="宋体"/>
                <w:color w:val="0D0D0D" w:themeColor="text1" w:themeTint="F2"/>
                <w:highlight w:val="none"/>
                <w14:textFill>
                  <w14:solidFill>
                    <w14:schemeClr w14:val="tx1">
                      <w14:lumMod w14:val="95000"/>
                      <w14:lumOff w14:val="5000"/>
                    </w14:schemeClr>
                  </w14:solidFill>
                </w14:textFill>
              </w:rPr>
              <w:t>年</w:t>
            </w:r>
            <w:r>
              <w:rPr>
                <w:rFonts w:hint="eastAsia" w:ascii="宋体" w:hAnsi="宋体" w:cs="宋体"/>
                <w:color w:val="0D0D0D" w:themeColor="text1" w:themeTint="F2"/>
                <w:highlight w:val="none"/>
                <w:lang w:val="en-US" w:eastAsia="zh-CN"/>
                <w14:textFill>
                  <w14:solidFill>
                    <w14:schemeClr w14:val="tx1">
                      <w14:lumMod w14:val="95000"/>
                      <w14:lumOff w14:val="5000"/>
                    </w14:schemeClr>
                  </w14:solidFill>
                </w14:textFill>
              </w:rPr>
              <w:t>1</w:t>
            </w:r>
            <w:r>
              <w:rPr>
                <w:rFonts w:hint="eastAsia" w:ascii="宋体" w:hAnsi="宋体" w:cs="宋体"/>
                <w:color w:val="0D0D0D" w:themeColor="text1" w:themeTint="F2"/>
                <w:highlight w:val="none"/>
                <w14:textFill>
                  <w14:solidFill>
                    <w14:schemeClr w14:val="tx1">
                      <w14:lumMod w14:val="95000"/>
                      <w14:lumOff w14:val="5000"/>
                    </w14:schemeClr>
                  </w14:solidFill>
                </w14:textFill>
              </w:rPr>
              <w:t>月至</w:t>
            </w:r>
            <w:r>
              <w:rPr>
                <w:rFonts w:hint="eastAsia" w:ascii="宋体" w:hAnsi="宋体" w:cs="宋体"/>
                <w:color w:val="0D0D0D" w:themeColor="text1" w:themeTint="F2"/>
                <w:highlight w:val="none"/>
                <w:lang w:eastAsia="zh-CN"/>
                <w14:textFill>
                  <w14:solidFill>
                    <w14:schemeClr w14:val="tx1">
                      <w14:lumMod w14:val="95000"/>
                      <w14:lumOff w14:val="5000"/>
                    </w14:schemeClr>
                  </w14:solidFill>
                </w14:textFill>
              </w:rPr>
              <w:t>2024</w:t>
            </w:r>
            <w:r>
              <w:rPr>
                <w:rFonts w:hint="eastAsia" w:ascii="宋体" w:hAnsi="宋体" w:cs="宋体"/>
                <w:color w:val="0D0D0D" w:themeColor="text1" w:themeTint="F2"/>
                <w:highlight w:val="none"/>
                <w14:textFill>
                  <w14:solidFill>
                    <w14:schemeClr w14:val="tx1">
                      <w14:lumMod w14:val="95000"/>
                      <w14:lumOff w14:val="5000"/>
                    </w14:schemeClr>
                  </w14:solidFill>
                </w14:textFill>
              </w:rPr>
              <w:t>年</w:t>
            </w:r>
            <w:r>
              <w:rPr>
                <w:rFonts w:hint="eastAsia" w:ascii="宋体" w:hAnsi="宋体" w:cs="宋体"/>
                <w:color w:val="0D0D0D" w:themeColor="text1" w:themeTint="F2"/>
                <w:highlight w:val="none"/>
                <w:lang w:val="en-US" w:eastAsia="zh-CN"/>
                <w14:textFill>
                  <w14:solidFill>
                    <w14:schemeClr w14:val="tx1">
                      <w14:lumMod w14:val="95000"/>
                      <w14:lumOff w14:val="5000"/>
                    </w14:schemeClr>
                  </w14:solidFill>
                </w14:textFill>
              </w:rPr>
              <w:t>3</w:t>
            </w:r>
            <w:r>
              <w:rPr>
                <w:rFonts w:hint="eastAsia" w:ascii="宋体" w:hAnsi="宋体" w:cs="宋体"/>
                <w:color w:val="0D0D0D" w:themeColor="text1" w:themeTint="F2"/>
                <w:highlight w:val="none"/>
                <w14:textFill>
                  <w14:solidFill>
                    <w14:schemeClr w14:val="tx1">
                      <w14:lumMod w14:val="95000"/>
                      <w14:lumOff w14:val="5000"/>
                    </w14:schemeClr>
                  </w14:solidFill>
                </w14:textFill>
              </w:rPr>
              <w:t>月养老保险缴费证明复印件加盖单位公章</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劳动合同</w:t>
            </w:r>
          </w:p>
          <w:p>
            <w:pPr>
              <w:pStyle w:val="2"/>
              <w:spacing w:before="0" w:after="0" w:line="360" w:lineRule="exact"/>
              <w:rPr>
                <w:rFonts w:ascii="宋体" w:hAnsi="宋体" w:cs="宋体"/>
                <w:b w:val="0"/>
                <w:bCs w:val="0"/>
                <w:color w:val="0D0D0D" w:themeColor="text1" w:themeTint="F2"/>
                <w:sz w:val="21"/>
                <w:szCs w:val="21"/>
                <w:highlight w:val="none"/>
                <w14:textFill>
                  <w14:solidFill>
                    <w14:schemeClr w14:val="tx1">
                      <w14:lumMod w14:val="95000"/>
                      <w14:lumOff w14:val="5000"/>
                    </w14:schemeClr>
                  </w14:solidFill>
                </w14:textFill>
              </w:rPr>
            </w:pPr>
            <w:r>
              <w:rPr>
                <w:rFonts w:hint="eastAsia" w:ascii="宋体" w:hAnsi="宋体" w:cs="宋体"/>
                <w:b w:val="0"/>
                <w:bCs w:val="0"/>
                <w:color w:val="0D0D0D" w:themeColor="text1" w:themeTint="F2"/>
                <w:sz w:val="21"/>
                <w:szCs w:val="21"/>
                <w:highlight w:val="none"/>
                <w14:textFill>
                  <w14:solidFill>
                    <w14:schemeClr w14:val="tx1">
                      <w14:lumMod w14:val="95000"/>
                      <w14:lumOff w14:val="5000"/>
                    </w14:schemeClr>
                  </w14:solidFill>
                </w14:textFill>
              </w:rPr>
              <w:t>养老保险缴费证明</w:t>
            </w:r>
          </w:p>
          <w:p>
            <w:pPr>
              <w:spacing w:line="360" w:lineRule="exact"/>
              <w:rPr>
                <w:highlight w:val="none"/>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企业法定代表人参加，此项不需提供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4</w:t>
            </w:r>
          </w:p>
        </w:tc>
        <w:tc>
          <w:tcPr>
            <w:tcW w:w="21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业绩证明材料</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近</w:t>
            </w: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三</w:t>
            </w: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年(20</w:t>
            </w: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21</w:t>
            </w: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年1月至202</w:t>
            </w: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3</w:t>
            </w: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年</w:t>
            </w: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12</w:t>
            </w: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月) 自来水或污水自控设备供货安装调试项目类似业绩3个</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hint="default" w:ascii="宋体" w:hAnsi="宋体" w:cs="宋体"/>
                <w:color w:val="0D0D0D" w:themeColor="text1" w:themeTint="F2"/>
                <w:kern w:val="0"/>
                <w:highlight w:val="none"/>
                <w:lang w:val="en-US"/>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（中标通知书、施工合同、竣工验收证书）</w:t>
            </w: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原件或复印件加盖公章</w:t>
            </w: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并提供网上中标公示截</w:t>
            </w: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图加盖公章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577" w:hRule="atLeas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hint="eastAsia" w:ascii="宋体" w:hAnsi="宋体" w:eastAsia="宋体" w:cs="宋体"/>
                <w:color w:val="0D0D0D" w:themeColor="text1" w:themeTint="F2"/>
                <w:kern w:val="0"/>
                <w:highlight w:val="none"/>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5</w:t>
            </w:r>
          </w:p>
        </w:tc>
        <w:tc>
          <w:tcPr>
            <w:tcW w:w="2109"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hint="default" w:ascii="宋体" w:hAnsi="宋体" w:eastAsia="宋体" w:cs="宋体"/>
                <w:color w:val="0D0D0D" w:themeColor="text1" w:themeTint="F2"/>
                <w:kern w:val="0"/>
                <w:highlight w:val="none"/>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专业资质</w:t>
            </w:r>
          </w:p>
        </w:tc>
        <w:tc>
          <w:tcPr>
            <w:tcW w:w="3748"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hint="eastAsia"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电子与智能化工程专业承包</w:t>
            </w: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贰</w:t>
            </w:r>
            <w:r>
              <w:rPr>
                <w:rFonts w:hint="eastAsia" w:ascii="宋体" w:hAnsi="宋体" w:cs="宋体"/>
                <w:color w:val="0D0D0D" w:themeColor="text1" w:themeTint="F2"/>
                <w:kern w:val="0"/>
                <w:highlight w:val="none"/>
                <w:lang w:eastAsia="zh-CN"/>
                <w14:textFill>
                  <w14:solidFill>
                    <w14:schemeClr w14:val="tx1">
                      <w14:lumMod w14:val="95000"/>
                      <w14:lumOff w14:val="5000"/>
                    </w14:schemeClr>
                  </w14:solidFill>
                </w14:textFill>
              </w:rPr>
              <w:t>级资质</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left"/>
              <w:rPr>
                <w:rFonts w:hint="eastAsia" w:ascii="宋体" w:hAnsi="宋体" w:cs="宋体"/>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14:textFill>
                  <w14:solidFill>
                    <w14:schemeClr w14:val="tx1">
                      <w14:lumMod w14:val="95000"/>
                      <w14:lumOff w14:val="5000"/>
                    </w14:schemeClr>
                  </w14:solidFill>
                </w14:textFill>
              </w:rPr>
              <w:t>真实有效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blCellSpacing w:w="0" w:type="dxa"/>
        </w:trPr>
        <w:tc>
          <w:tcPr>
            <w:tcW w:w="490" w:type="dxa"/>
            <w:tcBorders>
              <w:top w:val="outset" w:color="auto" w:sz="6" w:space="0"/>
              <w:left w:val="outset" w:color="auto" w:sz="6" w:space="0"/>
              <w:bottom w:val="outset" w:color="auto" w:sz="6" w:space="0"/>
              <w:right w:val="outset" w:color="auto" w:sz="6" w:space="0"/>
            </w:tcBorders>
            <w:vAlign w:val="center"/>
          </w:tcPr>
          <w:p>
            <w:pPr>
              <w:widowControl/>
              <w:spacing w:line="360" w:lineRule="exact"/>
              <w:jc w:val="center"/>
              <w:rPr>
                <w:rFonts w:hint="default" w:ascii="宋体" w:hAnsi="宋体" w:eastAsia="宋体" w:cs="宋体"/>
                <w:color w:val="0D0D0D" w:themeColor="text1" w:themeTint="F2"/>
                <w:kern w:val="0"/>
                <w:highlight w:val="none"/>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lang w:val="en-US" w:eastAsia="zh-CN"/>
                <w14:textFill>
                  <w14:solidFill>
                    <w14:schemeClr w14:val="tx1">
                      <w14:lumMod w14:val="95000"/>
                      <w14:lumOff w14:val="5000"/>
                    </w14:schemeClr>
                  </w14:solidFill>
                </w14:textFill>
              </w:rPr>
              <w:t>6</w:t>
            </w:r>
          </w:p>
        </w:tc>
        <w:tc>
          <w:tcPr>
            <w:tcW w:w="2109" w:type="dxa"/>
            <w:tcBorders>
              <w:top w:val="outset" w:color="auto" w:sz="6" w:space="0"/>
              <w:left w:val="outset" w:color="auto" w:sz="6" w:space="0"/>
              <w:bottom w:val="outset" w:color="auto" w:sz="6" w:space="0"/>
              <w:right w:val="outset" w:color="auto" w:sz="6" w:space="0"/>
            </w:tcBorders>
            <w:vAlign w:val="center"/>
          </w:tcPr>
          <w:p>
            <w:pPr>
              <w:spacing w:line="360" w:lineRule="exact"/>
              <w:rPr>
                <w:rFonts w:ascii="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kern w:val="0"/>
                <w:highlight w:val="none"/>
                <w:shd w:val="clear" w:color="auto" w:fill="FFFFFF"/>
                <w14:textFill>
                  <w14:solidFill>
                    <w14:schemeClr w14:val="tx1">
                      <w14:lumMod w14:val="95000"/>
                      <w14:lumOff w14:val="5000"/>
                    </w14:schemeClr>
                  </w14:solidFill>
                </w14:textFill>
              </w:rPr>
              <w:t>投标声明函</w:t>
            </w:r>
          </w:p>
        </w:tc>
        <w:tc>
          <w:tcPr>
            <w:tcW w:w="3748" w:type="dxa"/>
            <w:tcBorders>
              <w:top w:val="outset" w:color="auto" w:sz="6" w:space="0"/>
              <w:left w:val="outset" w:color="auto" w:sz="6" w:space="0"/>
              <w:bottom w:val="outset" w:color="auto" w:sz="6" w:space="0"/>
              <w:right w:val="outset" w:color="auto" w:sz="6" w:space="0"/>
            </w:tcBorders>
            <w:vAlign w:val="center"/>
          </w:tcPr>
          <w:p>
            <w:pPr>
              <w:spacing w:line="360" w:lineRule="exact"/>
              <w:jc w:val="left"/>
              <w:rPr>
                <w:rFonts w:ascii="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格式详见第五章投标文件格式</w:t>
            </w:r>
          </w:p>
        </w:tc>
        <w:tc>
          <w:tcPr>
            <w:tcW w:w="2693" w:type="dxa"/>
            <w:tcBorders>
              <w:top w:val="outset" w:color="auto" w:sz="6" w:space="0"/>
              <w:left w:val="outset" w:color="auto" w:sz="6" w:space="0"/>
              <w:bottom w:val="outset" w:color="auto" w:sz="6" w:space="0"/>
              <w:right w:val="outset" w:color="auto" w:sz="6" w:space="0"/>
            </w:tcBorders>
            <w:vAlign w:val="center"/>
          </w:tcPr>
          <w:p>
            <w:pPr>
              <w:widowControl/>
              <w:spacing w:line="360" w:lineRule="exact"/>
              <w:rPr>
                <w:rFonts w:ascii="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检查有效性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cantSplit/>
          <w:trHeight w:val="411" w:hRule="atLeast"/>
          <w:tblCellSpacing w:w="0" w:type="dxa"/>
        </w:trPr>
        <w:tc>
          <w:tcPr>
            <w:tcW w:w="9040" w:type="dxa"/>
            <w:gridSpan w:val="4"/>
            <w:tcBorders>
              <w:top w:val="outset" w:color="auto" w:sz="6" w:space="0"/>
              <w:left w:val="outset" w:color="auto" w:sz="6" w:space="0"/>
              <w:bottom w:val="outset" w:color="ACA899" w:sz="6" w:space="0"/>
              <w:right w:val="outset" w:color="auto" w:sz="6" w:space="0"/>
            </w:tcBorders>
            <w:vAlign w:val="center"/>
          </w:tcPr>
          <w:p>
            <w:pPr>
              <w:spacing w:line="260" w:lineRule="exact"/>
              <w:jc w:val="left"/>
              <w:rPr>
                <w:rFonts w:ascii="宋体" w:hAnsi="宋体" w:cs="宋体"/>
                <w:b/>
                <w:color w:val="0D0D0D" w:themeColor="text1" w:themeTint="F2"/>
                <w:kern w:val="0"/>
                <w:highlight w:val="none"/>
                <w14:textFill>
                  <w14:solidFill>
                    <w14:schemeClr w14:val="tx1">
                      <w14:lumMod w14:val="95000"/>
                      <w14:lumOff w14:val="5000"/>
                    </w14:schemeClr>
                  </w14:solidFill>
                </w14:textFill>
              </w:rPr>
            </w:pPr>
            <w:r>
              <w:rPr>
                <w:rFonts w:hint="eastAsia" w:ascii="宋体" w:hAnsi="宋体" w:cs="宋体"/>
                <w:b/>
                <w:color w:val="0D0D0D" w:themeColor="text1" w:themeTint="F2"/>
                <w:kern w:val="0"/>
                <w:highlight w:val="none"/>
                <w14:textFill>
                  <w14:solidFill>
                    <w14:schemeClr w14:val="tx1">
                      <w14:lumMod w14:val="95000"/>
                      <w14:lumOff w14:val="5000"/>
                    </w14:schemeClr>
                  </w14:solidFill>
                </w14:textFill>
              </w:rPr>
              <w:t>备注：上述（1）～（</w:t>
            </w:r>
            <w:r>
              <w:rPr>
                <w:rFonts w:hint="eastAsia" w:ascii="宋体" w:hAnsi="宋体" w:cs="宋体"/>
                <w:b/>
                <w:color w:val="0D0D0D" w:themeColor="text1" w:themeTint="F2"/>
                <w:kern w:val="0"/>
                <w:highlight w:val="none"/>
                <w:lang w:val="en-US" w:eastAsia="zh-CN"/>
                <w14:textFill>
                  <w14:solidFill>
                    <w14:schemeClr w14:val="tx1">
                      <w14:lumMod w14:val="95000"/>
                      <w14:lumOff w14:val="5000"/>
                    </w14:schemeClr>
                  </w14:solidFill>
                </w14:textFill>
              </w:rPr>
              <w:t>6</w:t>
            </w:r>
            <w:r>
              <w:rPr>
                <w:rFonts w:hint="eastAsia" w:ascii="宋体" w:hAnsi="宋体" w:cs="宋体"/>
                <w:b/>
                <w:color w:val="0D0D0D" w:themeColor="text1" w:themeTint="F2"/>
                <w:kern w:val="0"/>
                <w:highlight w:val="none"/>
                <w14:textFill>
                  <w14:solidFill>
                    <w14:schemeClr w14:val="tx1">
                      <w14:lumMod w14:val="95000"/>
                      <w14:lumOff w14:val="5000"/>
                    </w14:schemeClr>
                  </w14:solidFill>
                </w14:textFill>
              </w:rPr>
              <w:t>）中任何一条不符合要求 ，则资格审查不通过。</w:t>
            </w:r>
          </w:p>
        </w:tc>
      </w:tr>
    </w:tbl>
    <w:p>
      <w:pPr>
        <w:pStyle w:val="52"/>
        <w:rPr>
          <w:highlight w:val="none"/>
        </w:rPr>
      </w:pPr>
      <w:r>
        <w:rPr>
          <w:rFonts w:hint="eastAsia"/>
          <w:highlight w:val="none"/>
        </w:rPr>
        <w:t>二、评分细则</w:t>
      </w:r>
    </w:p>
    <w:p>
      <w:pPr>
        <w:spacing w:line="400" w:lineRule="exact"/>
        <w:ind w:firstLine="480" w:firstLineChars="200"/>
        <w:rPr>
          <w:rFonts w:ascii="宋体" w:hAnsi="宋体"/>
          <w:sz w:val="24"/>
          <w:szCs w:val="25"/>
          <w:highlight w:val="none"/>
        </w:rPr>
      </w:pPr>
      <w:r>
        <w:rPr>
          <w:rFonts w:hint="eastAsia" w:ascii="宋体" w:hAnsi="宋体"/>
          <w:sz w:val="24"/>
          <w:szCs w:val="24"/>
          <w:highlight w:val="none"/>
        </w:rPr>
        <w:t>2.1评标办法：本次招标采用最低投标价法，</w:t>
      </w:r>
      <w:r>
        <w:rPr>
          <w:rFonts w:hint="eastAsia" w:ascii="宋体" w:hAnsi="宋体"/>
          <w:sz w:val="24"/>
          <w:szCs w:val="25"/>
          <w:highlight w:val="none"/>
        </w:rPr>
        <w:t>满足招标文件要求且有效投标报价最低的投标人为第一中标候选人。经评审投标报价相同的，通过抽签方式确定第一中标候选人。</w:t>
      </w:r>
    </w:p>
    <w:p>
      <w:pPr>
        <w:spacing w:line="400" w:lineRule="exact"/>
        <w:ind w:firstLine="480" w:firstLineChars="200"/>
        <w:rPr>
          <w:rFonts w:hint="eastAsia" w:ascii="宋体" w:hAnsi="宋体"/>
          <w:sz w:val="24"/>
          <w:szCs w:val="25"/>
          <w:highlight w:val="none"/>
        </w:rPr>
      </w:pPr>
      <w:r>
        <w:rPr>
          <w:rFonts w:hint="eastAsia" w:ascii="宋体" w:hAnsi="宋体"/>
          <w:sz w:val="24"/>
          <w:szCs w:val="25"/>
          <w:highlight w:val="none"/>
        </w:rPr>
        <w:t>2.2有效报价为低于招标人设定的最高限价。</w:t>
      </w:r>
    </w:p>
    <w:p>
      <w:pPr>
        <w:spacing w:line="520" w:lineRule="exact"/>
        <w:rPr>
          <w:rFonts w:ascii="宋体" w:hAnsi="宋体"/>
          <w:highlight w:val="none"/>
        </w:rPr>
      </w:pPr>
    </w:p>
    <w:p>
      <w:pPr>
        <w:spacing w:line="360" w:lineRule="auto"/>
        <w:ind w:right="-334" w:rightChars="-159"/>
        <w:jc w:val="cente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t>第四章　</w:t>
      </w:r>
      <w:bookmarkStart w:id="14" w:name="_Toc144974577"/>
      <w:bookmarkStart w:id="15" w:name="_Toc179632627"/>
      <w:bookmarkStart w:id="16" w:name="_Toc387526240"/>
      <w:bookmarkStart w:id="17" w:name="_Toc17692"/>
      <w:bookmarkStart w:id="18" w:name="_Toc247085767"/>
      <w:bookmarkStart w:id="19" w:name="_Toc152042387"/>
      <w:bookmarkStart w:id="20" w:name="_Toc246996252"/>
      <w:bookmarkStart w:id="21" w:name="_Toc0"/>
      <w:bookmarkStart w:id="22" w:name="_Toc246996995"/>
      <w:bookmarkStart w:id="23" w:name="_Toc366679736"/>
      <w:bookmarkStart w:id="24" w:name="_Toc387526436"/>
      <w:bookmarkStart w:id="25" w:name="_Toc152045609"/>
      <w:bookmarkStart w:id="26" w:name="_Toc387526344"/>
      <w: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t>合同条款及格式</w:t>
      </w:r>
      <w:bookmarkEnd w:id="14"/>
      <w:bookmarkEnd w:id="15"/>
      <w:bookmarkEnd w:id="16"/>
      <w:bookmarkEnd w:id="17"/>
      <w:bookmarkEnd w:id="18"/>
      <w:bookmarkEnd w:id="19"/>
      <w:bookmarkEnd w:id="20"/>
      <w:bookmarkEnd w:id="21"/>
      <w:bookmarkEnd w:id="22"/>
      <w:bookmarkEnd w:id="23"/>
      <w:bookmarkEnd w:id="24"/>
      <w:bookmarkEnd w:id="25"/>
      <w:bookmarkEnd w:id="26"/>
    </w:p>
    <w:p>
      <w:pPr>
        <w:pStyle w:val="41"/>
        <w:ind w:left="542" w:hanging="542"/>
        <w:jc w:val="center"/>
        <w:rPr>
          <w:rFonts w:hint="eastAsia"/>
          <w:b/>
          <w:sz w:val="36"/>
          <w:szCs w:val="36"/>
        </w:rPr>
      </w:pPr>
    </w:p>
    <w:p>
      <w:pPr>
        <w:pStyle w:val="41"/>
        <w:ind w:left="542" w:hanging="542"/>
        <w:jc w:val="center"/>
        <w:rPr>
          <w:rFonts w:hint="eastAsia"/>
          <w:b/>
          <w:sz w:val="36"/>
          <w:szCs w:val="36"/>
        </w:rPr>
      </w:pPr>
    </w:p>
    <w:p>
      <w:pPr>
        <w:pStyle w:val="41"/>
        <w:ind w:left="542" w:hanging="542"/>
        <w:jc w:val="center"/>
        <w:rPr>
          <w:b/>
          <w:sz w:val="36"/>
          <w:szCs w:val="36"/>
        </w:rPr>
      </w:pPr>
      <w:r>
        <w:rPr>
          <w:rFonts w:hint="eastAsia"/>
          <w:b/>
          <w:sz w:val="36"/>
          <w:szCs w:val="36"/>
        </w:rPr>
        <w:t>南通市通州区水务有限公司</w:t>
      </w:r>
    </w:p>
    <w:p>
      <w:pPr>
        <w:pStyle w:val="41"/>
        <w:ind w:left="637" w:hanging="637"/>
        <w:jc w:val="center"/>
        <w:rPr>
          <w:rFonts w:eastAsia="方正魏碑简体"/>
          <w:b/>
          <w:bCs/>
          <w:w w:val="96"/>
          <w:sz w:val="44"/>
          <w:szCs w:val="44"/>
        </w:rPr>
      </w:pPr>
      <w:r>
        <w:rPr>
          <w:rFonts w:hint="eastAsia"/>
          <w:b/>
          <w:sz w:val="36"/>
          <w:szCs w:val="36"/>
          <w:lang w:val="en-US" w:eastAsia="zh-CN"/>
        </w:rPr>
        <w:t>泵站补氯装置采购安装项目</w:t>
      </w:r>
    </w:p>
    <w:p>
      <w:pPr>
        <w:pStyle w:val="41"/>
        <w:ind w:left="637" w:hanging="637"/>
        <w:jc w:val="center"/>
        <w:rPr>
          <w:rFonts w:eastAsia="方正魏碑简体"/>
          <w:b/>
          <w:bCs/>
          <w:w w:val="96"/>
          <w:sz w:val="44"/>
          <w:szCs w:val="44"/>
        </w:rPr>
      </w:pPr>
      <w:r>
        <w:rPr>
          <w:rFonts w:hint="eastAsia" w:eastAsia="方正魏碑简体"/>
          <w:b/>
          <w:bCs/>
          <w:w w:val="96"/>
          <w:sz w:val="44"/>
          <w:szCs w:val="44"/>
        </w:rPr>
        <w:t>合</w:t>
      </w:r>
    </w:p>
    <w:p>
      <w:pPr>
        <w:pStyle w:val="41"/>
        <w:ind w:left="637" w:hanging="637"/>
        <w:jc w:val="center"/>
        <w:rPr>
          <w:rFonts w:eastAsia="方正魏碑简体"/>
          <w:b/>
          <w:bCs/>
          <w:w w:val="96"/>
          <w:sz w:val="44"/>
          <w:szCs w:val="44"/>
        </w:rPr>
      </w:pPr>
      <w:r>
        <w:rPr>
          <w:rFonts w:hint="eastAsia" w:eastAsia="方正魏碑简体"/>
          <w:b/>
          <w:bCs/>
          <w:w w:val="96"/>
          <w:sz w:val="44"/>
          <w:szCs w:val="44"/>
        </w:rPr>
        <w:t>同</w:t>
      </w:r>
    </w:p>
    <w:p>
      <w:pPr>
        <w:pStyle w:val="41"/>
        <w:ind w:left="637" w:hanging="637"/>
        <w:jc w:val="center"/>
        <w:rPr>
          <w:rFonts w:eastAsia="方正魏碑简体"/>
          <w:b/>
          <w:bCs/>
          <w:w w:val="96"/>
          <w:sz w:val="44"/>
          <w:szCs w:val="44"/>
        </w:rPr>
      </w:pPr>
      <w:r>
        <w:rPr>
          <w:rFonts w:hint="eastAsia" w:eastAsia="方正魏碑简体"/>
          <w:b/>
          <w:bCs/>
          <w:w w:val="96"/>
          <w:sz w:val="44"/>
          <w:szCs w:val="44"/>
        </w:rPr>
        <w:t>书</w:t>
      </w:r>
    </w:p>
    <w:p>
      <w:pPr>
        <w:pStyle w:val="41"/>
        <w:ind w:left="540" w:hanging="540"/>
        <w:jc w:val="center"/>
        <w:rPr>
          <w:rFonts w:ascii="隶书" w:eastAsia="隶书"/>
          <w:sz w:val="36"/>
        </w:rPr>
      </w:pPr>
    </w:p>
    <w:p>
      <w:pPr>
        <w:pStyle w:val="41"/>
        <w:ind w:left="540" w:hanging="540"/>
        <w:jc w:val="center"/>
        <w:rPr>
          <w:rFonts w:hint="eastAsia" w:ascii="隶书" w:eastAsia="隶书"/>
          <w:sz w:val="36"/>
        </w:rPr>
      </w:pPr>
    </w:p>
    <w:p>
      <w:pPr>
        <w:pStyle w:val="41"/>
        <w:ind w:left="540" w:hanging="540"/>
        <w:jc w:val="center"/>
        <w:rPr>
          <w:rFonts w:ascii="隶书" w:eastAsia="隶书"/>
          <w:sz w:val="36"/>
        </w:rPr>
      </w:pPr>
    </w:p>
    <w:p>
      <w:pPr>
        <w:pStyle w:val="41"/>
        <w:ind w:left="0" w:firstLine="0" w:firstLineChars="0"/>
        <w:rPr>
          <w:rFonts w:ascii="隶书" w:eastAsia="隶书"/>
          <w:sz w:val="36"/>
        </w:rPr>
      </w:pPr>
    </w:p>
    <w:p>
      <w:pPr>
        <w:pStyle w:val="41"/>
        <w:ind w:left="0" w:firstLine="1247" w:firstLineChars="345"/>
        <w:rPr>
          <w:rFonts w:ascii="宋体" w:hAnsi="宋体"/>
          <w:b/>
          <w:sz w:val="36"/>
        </w:rPr>
      </w:pPr>
      <w:r>
        <w:rPr>
          <w:rFonts w:hint="eastAsia" w:ascii="宋体" w:hAnsi="宋体"/>
          <w:b/>
          <w:sz w:val="36"/>
        </w:rPr>
        <w:t>买方：南通市通州区水务有限公司</w:t>
      </w:r>
    </w:p>
    <w:p>
      <w:pPr>
        <w:pStyle w:val="41"/>
        <w:ind w:left="0" w:firstLine="1247" w:firstLineChars="345"/>
        <w:rPr>
          <w:rFonts w:hint="default" w:ascii="宋体" w:hAnsi="宋体" w:eastAsia="宋体"/>
          <w:b/>
          <w:sz w:val="36"/>
          <w:u w:val="single"/>
          <w:lang w:val="en-US" w:eastAsia="zh-CN"/>
        </w:rPr>
      </w:pPr>
      <w:r>
        <w:rPr>
          <w:rFonts w:hint="eastAsia" w:ascii="宋体" w:hAnsi="宋体"/>
          <w:b/>
          <w:sz w:val="36"/>
        </w:rPr>
        <w:t>卖方：</w:t>
      </w:r>
      <w:r>
        <w:rPr>
          <w:rFonts w:hint="eastAsia" w:ascii="宋体" w:hAnsi="宋体"/>
          <w:b/>
          <w:sz w:val="36"/>
          <w:u w:val="single"/>
          <w:lang w:val="en-US" w:eastAsia="zh-CN"/>
        </w:rPr>
        <w:t xml:space="preserve">                         </w:t>
      </w:r>
    </w:p>
    <w:p>
      <w:pPr>
        <w:pStyle w:val="41"/>
        <w:ind w:left="0" w:firstLine="1247" w:firstLineChars="345"/>
        <w:rPr>
          <w:rFonts w:hint="eastAsia" w:ascii="宋体" w:hAnsi="宋体"/>
          <w:b/>
          <w:sz w:val="36"/>
        </w:rPr>
      </w:pPr>
    </w:p>
    <w:p>
      <w:pPr>
        <w:pStyle w:val="41"/>
        <w:ind w:left="0" w:firstLine="1247" w:firstLineChars="345"/>
        <w:rPr>
          <w:rFonts w:hint="eastAsia" w:ascii="宋体" w:hAnsi="宋体"/>
          <w:b/>
          <w:sz w:val="36"/>
        </w:rPr>
      </w:pPr>
    </w:p>
    <w:p>
      <w:pPr>
        <w:pStyle w:val="41"/>
        <w:ind w:left="0" w:firstLine="1247" w:firstLineChars="345"/>
        <w:rPr>
          <w:rFonts w:ascii="宋体" w:hAnsi="宋体"/>
          <w:b/>
          <w:sz w:val="36"/>
        </w:rPr>
      </w:pPr>
      <w:r>
        <w:rPr>
          <w:rFonts w:hint="eastAsia" w:ascii="宋体" w:hAnsi="宋体"/>
          <w:b/>
          <w:sz w:val="36"/>
        </w:rPr>
        <w:t>签订日期：</w:t>
      </w:r>
      <w:r>
        <w:rPr>
          <w:rFonts w:hint="eastAsia" w:ascii="宋体" w:hAnsi="宋体"/>
          <w:b/>
          <w:sz w:val="36"/>
          <w:u w:val="single"/>
        </w:rPr>
        <w:t>202</w:t>
      </w:r>
      <w:r>
        <w:rPr>
          <w:rFonts w:hint="eastAsia" w:ascii="宋体" w:hAnsi="宋体"/>
          <w:b/>
          <w:sz w:val="36"/>
          <w:u w:val="single"/>
          <w:lang w:val="en-US" w:eastAsia="zh-CN"/>
        </w:rPr>
        <w:t>4</w:t>
      </w:r>
      <w:r>
        <w:rPr>
          <w:rFonts w:hint="eastAsia" w:ascii="宋体" w:hAnsi="宋体"/>
          <w:b/>
          <w:sz w:val="36"/>
        </w:rPr>
        <w:t>年</w:t>
      </w:r>
      <w:r>
        <w:rPr>
          <w:rFonts w:hint="eastAsia" w:ascii="宋体" w:hAnsi="宋体"/>
          <w:b/>
          <w:sz w:val="36"/>
          <w:lang w:val="en-US" w:eastAsia="zh-CN"/>
        </w:rPr>
        <w:t xml:space="preserve">   </w:t>
      </w:r>
      <w:r>
        <w:rPr>
          <w:rFonts w:hint="eastAsia" w:ascii="宋体" w:hAnsi="宋体"/>
          <w:b/>
          <w:sz w:val="36"/>
        </w:rPr>
        <w:t>月</w:t>
      </w:r>
      <w:r>
        <w:rPr>
          <w:rFonts w:hint="eastAsia" w:ascii="宋体" w:hAnsi="宋体"/>
          <w:b/>
          <w:sz w:val="36"/>
          <w:lang w:val="en-US" w:eastAsia="zh-CN"/>
        </w:rPr>
        <w:t xml:space="preserve">   </w:t>
      </w:r>
      <w:r>
        <w:rPr>
          <w:rFonts w:hint="eastAsia" w:ascii="宋体" w:hAnsi="宋体"/>
          <w:b/>
          <w:sz w:val="36"/>
        </w:rPr>
        <w:t>日</w:t>
      </w:r>
    </w:p>
    <w:p>
      <w:pPr>
        <w:pStyle w:val="41"/>
        <w:ind w:left="358" w:hanging="358" w:hangingChars="112"/>
        <w:jc w:val="center"/>
        <w:rPr>
          <w:rFonts w:hint="eastAsia" w:eastAsia="黑体"/>
          <w:sz w:val="32"/>
        </w:rPr>
      </w:pPr>
      <w:r>
        <w:rPr>
          <w:rFonts w:eastAsia="黑体"/>
          <w:sz w:val="32"/>
        </w:rPr>
        <w:br w:type="page"/>
      </w:r>
    </w:p>
    <w:p>
      <w:pPr>
        <w:pStyle w:val="41"/>
        <w:ind w:left="358" w:hanging="358" w:hangingChars="112"/>
        <w:jc w:val="center"/>
        <w:rPr>
          <w:rFonts w:hint="eastAsia" w:eastAsia="黑体"/>
          <w:sz w:val="32"/>
        </w:rPr>
      </w:pPr>
    </w:p>
    <w:p>
      <w:pPr>
        <w:pStyle w:val="41"/>
        <w:ind w:left="358" w:hanging="358" w:hangingChars="112"/>
        <w:jc w:val="center"/>
        <w:rPr>
          <w:rFonts w:eastAsia="黑体"/>
          <w:sz w:val="32"/>
        </w:rPr>
      </w:pPr>
      <w:r>
        <w:rPr>
          <w:rFonts w:hint="eastAsia" w:eastAsia="黑体"/>
          <w:sz w:val="32"/>
        </w:rPr>
        <w:t>合同条款前附表</w:t>
      </w:r>
    </w:p>
    <w:tbl>
      <w:tblPr>
        <w:tblStyle w:val="20"/>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953"/>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75" w:type="dxa"/>
            <w:vAlign w:val="center"/>
          </w:tcPr>
          <w:p>
            <w:pPr>
              <w:spacing w:line="520" w:lineRule="exact"/>
              <w:jc w:val="center"/>
              <w:rPr>
                <w:sz w:val="24"/>
              </w:rPr>
            </w:pPr>
            <w:r>
              <w:rPr>
                <w:rFonts w:hint="eastAsia"/>
                <w:sz w:val="24"/>
              </w:rPr>
              <w:t>序号</w:t>
            </w:r>
          </w:p>
        </w:tc>
        <w:tc>
          <w:tcPr>
            <w:tcW w:w="953" w:type="dxa"/>
            <w:vAlign w:val="center"/>
          </w:tcPr>
          <w:p>
            <w:pPr>
              <w:spacing w:line="520" w:lineRule="exact"/>
              <w:jc w:val="center"/>
              <w:rPr>
                <w:sz w:val="24"/>
              </w:rPr>
            </w:pPr>
            <w:r>
              <w:rPr>
                <w:rFonts w:hint="eastAsia"/>
                <w:sz w:val="24"/>
              </w:rPr>
              <w:t>条款号</w:t>
            </w:r>
          </w:p>
        </w:tc>
        <w:tc>
          <w:tcPr>
            <w:tcW w:w="6848" w:type="dxa"/>
            <w:vAlign w:val="center"/>
          </w:tcPr>
          <w:p>
            <w:pPr>
              <w:spacing w:line="520" w:lineRule="exact"/>
              <w:jc w:val="center"/>
              <w:rPr>
                <w:sz w:val="24"/>
              </w:rPr>
            </w:pPr>
            <w:r>
              <w:rPr>
                <w:rFonts w:hint="eastAsia"/>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775" w:type="dxa"/>
            <w:vAlign w:val="center"/>
          </w:tcPr>
          <w:p>
            <w:pPr>
              <w:spacing w:line="520" w:lineRule="exact"/>
              <w:jc w:val="center"/>
              <w:rPr>
                <w:sz w:val="24"/>
              </w:rPr>
            </w:pPr>
            <w:r>
              <w:rPr>
                <w:rFonts w:hint="eastAsia"/>
                <w:sz w:val="24"/>
              </w:rPr>
              <w:t>1</w:t>
            </w:r>
          </w:p>
        </w:tc>
        <w:tc>
          <w:tcPr>
            <w:tcW w:w="953" w:type="dxa"/>
            <w:vAlign w:val="center"/>
          </w:tcPr>
          <w:p>
            <w:pPr>
              <w:spacing w:line="520" w:lineRule="exact"/>
              <w:jc w:val="center"/>
              <w:rPr>
                <w:sz w:val="24"/>
              </w:rPr>
            </w:pPr>
            <w:r>
              <w:rPr>
                <w:rFonts w:hint="eastAsia"/>
                <w:sz w:val="24"/>
              </w:rPr>
              <w:t>1（5）</w:t>
            </w:r>
          </w:p>
        </w:tc>
        <w:tc>
          <w:tcPr>
            <w:tcW w:w="6848" w:type="dxa"/>
            <w:vAlign w:val="center"/>
          </w:tcPr>
          <w:p>
            <w:pPr>
              <w:spacing w:line="520" w:lineRule="exact"/>
              <w:rPr>
                <w:sz w:val="24"/>
              </w:rPr>
            </w:pPr>
            <w:r>
              <w:rPr>
                <w:rFonts w:hint="eastAsia"/>
                <w:sz w:val="24"/>
              </w:rPr>
              <w:t>买方名称：南通市通州区水务有限公司</w:t>
            </w:r>
          </w:p>
          <w:p>
            <w:pPr>
              <w:spacing w:line="520" w:lineRule="exact"/>
              <w:rPr>
                <w:sz w:val="24"/>
              </w:rPr>
            </w:pPr>
            <w:r>
              <w:rPr>
                <w:rFonts w:hint="eastAsia"/>
                <w:sz w:val="24"/>
              </w:rPr>
              <w:t>买方地址：</w:t>
            </w:r>
            <w:r>
              <w:rPr>
                <w:rFonts w:hint="eastAsia" w:ascii="仿宋_GB2312"/>
                <w:sz w:val="24"/>
              </w:rPr>
              <w:t>南通市通州区金沙镇金通路18号</w:t>
            </w:r>
          </w:p>
          <w:p>
            <w:pPr>
              <w:spacing w:line="520" w:lineRule="exact"/>
              <w:rPr>
                <w:sz w:val="24"/>
              </w:rPr>
            </w:pPr>
            <w:r>
              <w:rPr>
                <w:rFonts w:hint="eastAsia"/>
                <w:sz w:val="24"/>
              </w:rPr>
              <w:t xml:space="preserve">买方电话：0513-86540810     买方传真：0513- </w:t>
            </w:r>
          </w:p>
          <w:p>
            <w:pPr>
              <w:spacing w:line="520" w:lineRule="exact"/>
              <w:rPr>
                <w:rFonts w:hint="eastAsia" w:eastAsia="宋体"/>
                <w:sz w:val="24"/>
                <w:lang w:val="en-US" w:eastAsia="zh-CN"/>
              </w:rPr>
            </w:pPr>
            <w:r>
              <w:rPr>
                <w:rFonts w:hint="eastAsia"/>
                <w:sz w:val="24"/>
              </w:rPr>
              <w:t>买方联系人：</w:t>
            </w:r>
            <w:r>
              <w:rPr>
                <w:rFonts w:hint="eastAsia"/>
                <w:sz w:val="24"/>
                <w:lang w:val="en-US" w:eastAsia="zh-CN"/>
              </w:rPr>
              <w:t>曹武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4" w:hRule="atLeast"/>
          <w:jc w:val="center"/>
        </w:trPr>
        <w:tc>
          <w:tcPr>
            <w:tcW w:w="775" w:type="dxa"/>
            <w:vAlign w:val="center"/>
          </w:tcPr>
          <w:p>
            <w:pPr>
              <w:spacing w:line="520" w:lineRule="exact"/>
              <w:jc w:val="center"/>
              <w:rPr>
                <w:sz w:val="24"/>
              </w:rPr>
            </w:pPr>
            <w:r>
              <w:rPr>
                <w:rFonts w:hint="eastAsia"/>
                <w:sz w:val="24"/>
              </w:rPr>
              <w:t>2</w:t>
            </w:r>
          </w:p>
        </w:tc>
        <w:tc>
          <w:tcPr>
            <w:tcW w:w="953" w:type="dxa"/>
            <w:vAlign w:val="center"/>
          </w:tcPr>
          <w:p>
            <w:pPr>
              <w:spacing w:line="520" w:lineRule="exact"/>
              <w:jc w:val="center"/>
              <w:rPr>
                <w:sz w:val="24"/>
              </w:rPr>
            </w:pPr>
            <w:r>
              <w:rPr>
                <w:rFonts w:hint="eastAsia"/>
                <w:sz w:val="24"/>
              </w:rPr>
              <w:t>1（6）</w:t>
            </w:r>
          </w:p>
        </w:tc>
        <w:tc>
          <w:tcPr>
            <w:tcW w:w="6848" w:type="dxa"/>
            <w:vAlign w:val="center"/>
          </w:tcPr>
          <w:p>
            <w:pPr>
              <w:spacing w:line="520" w:lineRule="exact"/>
              <w:rPr>
                <w:rFonts w:hint="default" w:eastAsia="宋体"/>
                <w:sz w:val="24"/>
                <w:u w:val="single"/>
                <w:lang w:val="en-US" w:eastAsia="zh-CN"/>
              </w:rPr>
            </w:pPr>
            <w:r>
              <w:rPr>
                <w:rFonts w:hint="eastAsia"/>
                <w:sz w:val="24"/>
              </w:rPr>
              <w:t>卖方名称：</w:t>
            </w:r>
            <w:r>
              <w:rPr>
                <w:rFonts w:hint="eastAsia"/>
                <w:sz w:val="24"/>
                <w:u w:val="single"/>
                <w:lang w:val="en-US" w:eastAsia="zh-CN"/>
              </w:rPr>
              <w:t xml:space="preserve">                                  </w:t>
            </w:r>
          </w:p>
          <w:p>
            <w:pPr>
              <w:spacing w:line="520" w:lineRule="exact"/>
              <w:rPr>
                <w:rFonts w:hint="default" w:eastAsia="宋体"/>
                <w:sz w:val="24"/>
                <w:u w:val="single"/>
                <w:lang w:val="en-US" w:eastAsia="zh-CN"/>
              </w:rPr>
            </w:pPr>
            <w:r>
              <w:rPr>
                <w:rFonts w:hint="eastAsia"/>
                <w:sz w:val="24"/>
              </w:rPr>
              <w:t>卖方地址：</w:t>
            </w:r>
            <w:r>
              <w:rPr>
                <w:rFonts w:hint="eastAsia"/>
                <w:sz w:val="24"/>
                <w:u w:val="single"/>
                <w:lang w:val="en-US" w:eastAsia="zh-CN"/>
              </w:rPr>
              <w:t xml:space="preserve">                                      </w:t>
            </w:r>
          </w:p>
          <w:p>
            <w:pPr>
              <w:spacing w:line="520" w:lineRule="exact"/>
              <w:rPr>
                <w:rFonts w:hint="default" w:eastAsia="宋体"/>
                <w:sz w:val="24"/>
                <w:u w:val="single"/>
                <w:lang w:val="en-US" w:eastAsia="zh-CN"/>
              </w:rPr>
            </w:pPr>
            <w:r>
              <w:rPr>
                <w:rFonts w:hint="eastAsia"/>
                <w:sz w:val="24"/>
              </w:rPr>
              <w:t>卖方电话：</w:t>
            </w:r>
            <w:r>
              <w:rPr>
                <w:rFonts w:hint="eastAsia"/>
                <w:sz w:val="24"/>
                <w:u w:val="single"/>
                <w:lang w:val="en-US" w:eastAsia="zh-CN"/>
              </w:rPr>
              <w:t xml:space="preserve">            </w:t>
            </w:r>
          </w:p>
          <w:p>
            <w:pPr>
              <w:spacing w:line="520" w:lineRule="exact"/>
              <w:rPr>
                <w:rFonts w:hint="default" w:eastAsia="宋体"/>
                <w:sz w:val="24"/>
                <w:u w:val="single"/>
                <w:lang w:val="en-US" w:eastAsia="zh-CN"/>
              </w:rPr>
            </w:pPr>
            <w:r>
              <w:rPr>
                <w:rFonts w:hint="eastAsia"/>
                <w:sz w:val="24"/>
              </w:rPr>
              <w:t>卖方联系人：</w:t>
            </w:r>
            <w:r>
              <w:rPr>
                <w:rFonts w:hint="eastAsia"/>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75" w:type="dxa"/>
            <w:vAlign w:val="center"/>
          </w:tcPr>
          <w:p>
            <w:pPr>
              <w:spacing w:line="520" w:lineRule="exact"/>
              <w:jc w:val="center"/>
              <w:rPr>
                <w:sz w:val="24"/>
              </w:rPr>
            </w:pPr>
            <w:r>
              <w:rPr>
                <w:rFonts w:hint="eastAsia"/>
                <w:sz w:val="24"/>
              </w:rPr>
              <w:t>3</w:t>
            </w:r>
          </w:p>
        </w:tc>
        <w:tc>
          <w:tcPr>
            <w:tcW w:w="953" w:type="dxa"/>
            <w:vAlign w:val="center"/>
          </w:tcPr>
          <w:p>
            <w:pPr>
              <w:spacing w:line="520" w:lineRule="exact"/>
              <w:jc w:val="center"/>
              <w:rPr>
                <w:sz w:val="24"/>
              </w:rPr>
            </w:pPr>
            <w:r>
              <w:rPr>
                <w:rFonts w:hint="eastAsia"/>
                <w:sz w:val="24"/>
              </w:rPr>
              <w:t>1（7）</w:t>
            </w:r>
          </w:p>
        </w:tc>
        <w:tc>
          <w:tcPr>
            <w:tcW w:w="6848" w:type="dxa"/>
            <w:vAlign w:val="center"/>
          </w:tcPr>
          <w:p>
            <w:pPr>
              <w:spacing w:line="520" w:lineRule="exact"/>
              <w:rPr>
                <w:rFonts w:hint="default" w:eastAsia="宋体"/>
                <w:sz w:val="24"/>
                <w:u w:val="single"/>
                <w:lang w:val="en-US" w:eastAsia="zh-CN"/>
              </w:rPr>
            </w:pPr>
            <w:r>
              <w:rPr>
                <w:rFonts w:hint="eastAsia"/>
                <w:sz w:val="24"/>
              </w:rPr>
              <w:t>项目现场：</w:t>
            </w:r>
            <w:r>
              <w:rPr>
                <w:rFonts w:hint="eastAsia"/>
                <w:sz w:val="24"/>
                <w:u w:val="single"/>
                <w:lang w:val="en-US" w:eastAsia="zh-CN"/>
              </w:rPr>
              <w:t>通州水厂、</w:t>
            </w:r>
            <w:r>
              <w:rPr>
                <w:rFonts w:hint="eastAsia"/>
                <w:sz w:val="24"/>
                <w:u w:val="single"/>
              </w:rPr>
              <w:t>三余泵站、五平泵站</w:t>
            </w:r>
            <w:r>
              <w:rPr>
                <w:rFonts w:hint="eastAsia"/>
                <w:sz w:val="24"/>
                <w:u w:val="single"/>
                <w:lang w:eastAsia="zh-CN"/>
              </w:rPr>
              <w:t>、</w:t>
            </w:r>
            <w:r>
              <w:rPr>
                <w:rFonts w:hint="eastAsia"/>
                <w:sz w:val="24"/>
                <w:u w:val="single"/>
                <w:lang w:val="en-US" w:eastAsia="zh-CN"/>
              </w:rPr>
              <w:t>九华泵站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75" w:type="dxa"/>
            <w:vAlign w:val="center"/>
          </w:tcPr>
          <w:p>
            <w:pPr>
              <w:spacing w:line="520" w:lineRule="exact"/>
              <w:jc w:val="center"/>
              <w:rPr>
                <w:sz w:val="24"/>
              </w:rPr>
            </w:pPr>
            <w:r>
              <w:rPr>
                <w:rFonts w:hint="eastAsia"/>
                <w:sz w:val="24"/>
              </w:rPr>
              <w:t>4</w:t>
            </w:r>
          </w:p>
        </w:tc>
        <w:tc>
          <w:tcPr>
            <w:tcW w:w="953" w:type="dxa"/>
            <w:vAlign w:val="center"/>
          </w:tcPr>
          <w:p>
            <w:pPr>
              <w:spacing w:line="520" w:lineRule="exact"/>
              <w:jc w:val="center"/>
              <w:rPr>
                <w:sz w:val="24"/>
              </w:rPr>
            </w:pPr>
            <w:r>
              <w:rPr>
                <w:rFonts w:hint="eastAsia"/>
                <w:sz w:val="24"/>
              </w:rPr>
              <w:t>8</w:t>
            </w:r>
          </w:p>
        </w:tc>
        <w:tc>
          <w:tcPr>
            <w:tcW w:w="6848" w:type="dxa"/>
            <w:vAlign w:val="center"/>
          </w:tcPr>
          <w:p>
            <w:pPr>
              <w:spacing w:line="520" w:lineRule="exact"/>
              <w:rPr>
                <w:sz w:val="24"/>
              </w:rPr>
            </w:pPr>
            <w:r>
              <w:rPr>
                <w:rFonts w:hint="eastAsia"/>
                <w:sz w:val="24"/>
              </w:rPr>
              <w:t>合同价格：人民币：</w:t>
            </w:r>
            <w:r>
              <w:rPr>
                <w:rFonts w:hint="eastAsia"/>
                <w:sz w:val="24"/>
                <w:lang w:val="en-US" w:eastAsia="zh-CN"/>
              </w:rPr>
              <w:t xml:space="preserve">           </w:t>
            </w:r>
            <w:r>
              <w:rPr>
                <w:rFonts w:hint="eastAsia"/>
                <w:sz w:val="24"/>
              </w:rPr>
              <w:t>元（RMB：</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元 </w:t>
            </w:r>
            <w:r>
              <w:rPr>
                <w:sz w:val="24"/>
              </w:rPr>
              <w:t>）</w:t>
            </w:r>
            <w:r>
              <w:rPr>
                <w:rFonts w:hint="eastAsia"/>
                <w:sz w:val="24"/>
              </w:rPr>
              <w:t>后附供货清单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775" w:type="dxa"/>
            <w:vAlign w:val="center"/>
          </w:tcPr>
          <w:p>
            <w:pPr>
              <w:spacing w:line="520" w:lineRule="exact"/>
              <w:jc w:val="center"/>
              <w:rPr>
                <w:sz w:val="24"/>
              </w:rPr>
            </w:pPr>
            <w:r>
              <w:rPr>
                <w:rFonts w:hint="eastAsia"/>
                <w:sz w:val="24"/>
              </w:rPr>
              <w:t>5</w:t>
            </w:r>
          </w:p>
        </w:tc>
        <w:tc>
          <w:tcPr>
            <w:tcW w:w="953" w:type="dxa"/>
            <w:vAlign w:val="center"/>
          </w:tcPr>
          <w:p>
            <w:pPr>
              <w:spacing w:line="520" w:lineRule="exact"/>
              <w:jc w:val="center"/>
              <w:rPr>
                <w:sz w:val="24"/>
              </w:rPr>
            </w:pPr>
            <w:r>
              <w:rPr>
                <w:sz w:val="24"/>
              </w:rPr>
              <w:t>15.2</w:t>
            </w:r>
          </w:p>
        </w:tc>
        <w:tc>
          <w:tcPr>
            <w:tcW w:w="6848" w:type="dxa"/>
            <w:vAlign w:val="center"/>
          </w:tcPr>
          <w:p>
            <w:pPr>
              <w:widowControl/>
              <w:tabs>
                <w:tab w:val="left" w:pos="1260"/>
              </w:tabs>
              <w:spacing w:line="440" w:lineRule="exact"/>
              <w:ind w:firstLine="480" w:firstLineChars="200"/>
              <w:jc w:val="left"/>
              <w:rPr>
                <w:sz w:val="24"/>
                <w:szCs w:val="24"/>
              </w:rPr>
            </w:pPr>
            <w:r>
              <w:rPr>
                <w:rFonts w:hint="eastAsia"/>
                <w:sz w:val="24"/>
              </w:rPr>
              <w:t>付款计划：货物全部送到买方指定的地点安装并调试，试运行3个月后，由买方组织验收。经买方验收合格，全额开具增值税专用发票后，20日内支付合同总额的97%，</w:t>
            </w:r>
            <w:r>
              <w:rPr>
                <w:rFonts w:hint="eastAsia"/>
                <w:sz w:val="24"/>
                <w:lang w:val="en-US" w:eastAsia="zh-CN"/>
              </w:rPr>
              <w:t>同时退还履约保证金，</w:t>
            </w:r>
            <w:r>
              <w:rPr>
                <w:rFonts w:hint="eastAsia"/>
                <w:sz w:val="24"/>
              </w:rPr>
              <w:t>余款作为履约保证金待质保期（</w:t>
            </w:r>
            <w:r>
              <w:rPr>
                <w:rFonts w:hint="eastAsia"/>
                <w:sz w:val="24"/>
                <w:lang w:val="en-US" w:eastAsia="zh-CN"/>
              </w:rPr>
              <w:t>三</w:t>
            </w:r>
            <w:r>
              <w:rPr>
                <w:rFonts w:hint="eastAsia"/>
                <w:sz w:val="24"/>
              </w:rPr>
              <w:t>年，自验收合格之日起计算）期满后10日内付清，不计息。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775" w:type="dxa"/>
            <w:vAlign w:val="center"/>
          </w:tcPr>
          <w:p>
            <w:pPr>
              <w:spacing w:line="360" w:lineRule="exact"/>
              <w:jc w:val="center"/>
              <w:rPr>
                <w:sz w:val="24"/>
              </w:rPr>
            </w:pPr>
            <w:r>
              <w:rPr>
                <w:rFonts w:hint="eastAsia"/>
                <w:sz w:val="24"/>
              </w:rPr>
              <w:t>6</w:t>
            </w:r>
          </w:p>
        </w:tc>
        <w:tc>
          <w:tcPr>
            <w:tcW w:w="953" w:type="dxa"/>
            <w:vAlign w:val="center"/>
          </w:tcPr>
          <w:p>
            <w:pPr>
              <w:spacing w:line="360" w:lineRule="exact"/>
              <w:jc w:val="center"/>
              <w:rPr>
                <w:sz w:val="24"/>
              </w:rPr>
            </w:pPr>
            <w:r>
              <w:rPr>
                <w:sz w:val="24"/>
              </w:rPr>
              <w:t>17</w:t>
            </w:r>
          </w:p>
        </w:tc>
        <w:tc>
          <w:tcPr>
            <w:tcW w:w="6848" w:type="dxa"/>
            <w:vAlign w:val="center"/>
          </w:tcPr>
          <w:p>
            <w:pPr>
              <w:widowControl/>
              <w:tabs>
                <w:tab w:val="left" w:pos="1260"/>
              </w:tabs>
              <w:spacing w:line="440" w:lineRule="exact"/>
              <w:ind w:firstLine="480" w:firstLineChars="200"/>
              <w:jc w:val="left"/>
              <w:rPr>
                <w:sz w:val="24"/>
              </w:rPr>
            </w:pPr>
            <w:r>
              <w:rPr>
                <w:rFonts w:hint="eastAsia"/>
                <w:sz w:val="24"/>
              </w:rPr>
              <w:t>质量保证（修）期：所有硬件设备质保期为</w:t>
            </w:r>
            <w:r>
              <w:rPr>
                <w:rFonts w:hint="eastAsia"/>
                <w:sz w:val="24"/>
                <w:lang w:val="en-US" w:eastAsia="zh-CN"/>
              </w:rPr>
              <w:t>三</w:t>
            </w:r>
            <w:r>
              <w:rPr>
                <w:rFonts w:hint="eastAsia"/>
                <w:sz w:val="24"/>
              </w:rPr>
              <w:t>年，</w:t>
            </w:r>
            <w:r>
              <w:rPr>
                <w:rFonts w:hint="eastAsia"/>
                <w:sz w:val="24"/>
                <w:highlight w:val="yellow"/>
              </w:rPr>
              <w:t>升级后的自动化控制系统提供终身免费技术服务</w:t>
            </w:r>
            <w:r>
              <w:rPr>
                <w:rFonts w:hint="eastAsia"/>
                <w:sz w:val="24"/>
              </w:rPr>
              <w:t>。项目整体内所有产品验收通过之日起开始计算。在质保期内，同一产品、同一质量问题连续两次维修仍无法正常使用，卖方无条件给予全套更换或退货。</w:t>
            </w:r>
          </w:p>
        </w:tc>
      </w:tr>
    </w:tbl>
    <w:p>
      <w:pPr>
        <w:pStyle w:val="41"/>
        <w:spacing w:line="380" w:lineRule="exact"/>
        <w:ind w:left="358" w:hanging="358" w:hangingChars="112"/>
        <w:rPr>
          <w:rFonts w:eastAsia="黑体"/>
          <w:sz w:val="32"/>
        </w:rPr>
      </w:pPr>
      <w:bookmarkStart w:id="27" w:name="_Toc106779883"/>
    </w:p>
    <w:p>
      <w:pPr>
        <w:pStyle w:val="41"/>
        <w:ind w:left="358" w:hanging="358" w:hangingChars="112"/>
        <w:jc w:val="center"/>
        <w:rPr>
          <w:rFonts w:eastAsia="黑体"/>
          <w:b/>
        </w:rPr>
      </w:pPr>
      <w:r>
        <w:rPr>
          <w:rFonts w:eastAsia="黑体"/>
          <w:sz w:val="32"/>
        </w:rPr>
        <w:br w:type="page"/>
      </w:r>
      <w:r>
        <w:rPr>
          <w:rFonts w:hint="eastAsia" w:eastAsia="黑体"/>
          <w:b/>
          <w:sz w:val="32"/>
        </w:rPr>
        <w:t>合  同  条  款</w:t>
      </w:r>
      <w:bookmarkEnd w:id="27"/>
    </w:p>
    <w:p>
      <w:pPr>
        <w:pStyle w:val="41"/>
        <w:spacing w:line="400" w:lineRule="exact"/>
        <w:ind w:left="361" w:hanging="361"/>
        <w:jc w:val="center"/>
        <w:rPr>
          <w:rFonts w:eastAsia="黑体"/>
          <w:b/>
          <w:bCs/>
        </w:rPr>
      </w:pPr>
    </w:p>
    <w:p>
      <w:pPr>
        <w:spacing w:line="400" w:lineRule="exact"/>
        <w:ind w:firstLine="480" w:firstLineChars="200"/>
        <w:rPr>
          <w:rFonts w:ascii="黑体" w:eastAsia="黑体"/>
          <w:sz w:val="24"/>
        </w:rPr>
      </w:pPr>
      <w:r>
        <w:rPr>
          <w:rFonts w:ascii="黑体" w:eastAsia="黑体"/>
          <w:sz w:val="24"/>
        </w:rPr>
        <w:t xml:space="preserve">1  </w:t>
      </w:r>
      <w:r>
        <w:rPr>
          <w:rFonts w:hint="eastAsia" w:ascii="黑体" w:eastAsia="黑体"/>
          <w:sz w:val="24"/>
        </w:rPr>
        <w:t>定义</w:t>
      </w:r>
    </w:p>
    <w:p>
      <w:pPr>
        <w:spacing w:line="400" w:lineRule="exact"/>
        <w:ind w:firstLine="480" w:firstLineChars="200"/>
        <w:rPr>
          <w:sz w:val="24"/>
        </w:rPr>
      </w:pPr>
      <w:r>
        <w:rPr>
          <w:rFonts w:hint="eastAsia"/>
          <w:sz w:val="24"/>
        </w:rPr>
        <w:t>本合同中的下列术语应解释为：</w:t>
      </w:r>
    </w:p>
    <w:p>
      <w:pPr>
        <w:spacing w:line="400" w:lineRule="exact"/>
        <w:ind w:firstLine="480" w:firstLineChars="200"/>
        <w:rPr>
          <w:sz w:val="24"/>
        </w:rPr>
      </w:pPr>
      <w:r>
        <w:rPr>
          <w:sz w:val="24"/>
        </w:rPr>
        <w:t>(</w:t>
      </w:r>
      <w:r>
        <w:rPr>
          <w:rFonts w:hint="eastAsia"/>
          <w:sz w:val="24"/>
        </w:rPr>
        <w:t>1</w:t>
      </w:r>
      <w:r>
        <w:rPr>
          <w:sz w:val="24"/>
        </w:rPr>
        <w:t>)</w:t>
      </w:r>
      <w:r>
        <w:rPr>
          <w:rFonts w:hint="eastAsia"/>
          <w:sz w:val="24"/>
        </w:rPr>
        <w:t xml:space="preserve"> 合同系指合同各方共同签署的、载明各方权利义务的协议，包括所有的附件、附录以及上述文件中提到的构成合同的所有文件。</w:t>
      </w:r>
    </w:p>
    <w:p>
      <w:pPr>
        <w:spacing w:line="400" w:lineRule="exact"/>
        <w:ind w:firstLine="480" w:firstLineChars="200"/>
        <w:rPr>
          <w:sz w:val="24"/>
        </w:rPr>
      </w:pPr>
      <w:r>
        <w:rPr>
          <w:sz w:val="24"/>
        </w:rPr>
        <w:t>(</w:t>
      </w:r>
      <w:r>
        <w:rPr>
          <w:rFonts w:hint="eastAsia"/>
          <w:sz w:val="24"/>
        </w:rPr>
        <w:t>2</w:t>
      </w:r>
      <w:r>
        <w:rPr>
          <w:sz w:val="24"/>
        </w:rPr>
        <w:t>)</w:t>
      </w:r>
      <w:r>
        <w:rPr>
          <w:rFonts w:hint="eastAsia"/>
          <w:sz w:val="24"/>
        </w:rPr>
        <w:t xml:space="preserve"> 合同价格系指根据合同的规定，卖方在正确、完整地履行合同义务后，买方应向其支付的所有货款及报酬的金额。</w:t>
      </w:r>
    </w:p>
    <w:p>
      <w:pPr>
        <w:spacing w:line="400" w:lineRule="exact"/>
        <w:ind w:firstLine="480" w:firstLineChars="200"/>
        <w:rPr>
          <w:sz w:val="24"/>
        </w:rPr>
      </w:pPr>
      <w:r>
        <w:rPr>
          <w:sz w:val="24"/>
        </w:rPr>
        <w:t>(</w:t>
      </w:r>
      <w:r>
        <w:rPr>
          <w:rFonts w:hint="eastAsia"/>
          <w:sz w:val="24"/>
        </w:rPr>
        <w:t>3</w:t>
      </w:r>
      <w:r>
        <w:rPr>
          <w:sz w:val="24"/>
        </w:rPr>
        <w:t>)</w:t>
      </w:r>
      <w:r>
        <w:rPr>
          <w:rFonts w:hint="eastAsia"/>
          <w:sz w:val="24"/>
        </w:rPr>
        <w:t xml:space="preserve"> 货物系指卖方根据合同的规定须向买方提供的一切材料、设备、机械、仪表、备品、备件、工具和（或）其他设施。本合同中系指</w:t>
      </w:r>
      <w:r>
        <w:rPr>
          <w:rFonts w:hint="eastAsia"/>
          <w:sz w:val="24"/>
          <w:u w:val="single"/>
          <w:lang w:val="en-US" w:eastAsia="zh-CN"/>
        </w:rPr>
        <w:t>泵站补氯装置采购安装</w:t>
      </w:r>
      <w:r>
        <w:rPr>
          <w:sz w:val="24"/>
        </w:rPr>
        <w:t>，但在</w:t>
      </w:r>
      <w:r>
        <w:rPr>
          <w:rFonts w:hint="eastAsia"/>
          <w:sz w:val="24"/>
        </w:rPr>
        <w:t>履行</w:t>
      </w:r>
      <w:r>
        <w:rPr>
          <w:sz w:val="24"/>
        </w:rPr>
        <w:t>合同过程中如发现有任何</w:t>
      </w:r>
      <w:r>
        <w:rPr>
          <w:rFonts w:hint="eastAsia"/>
          <w:sz w:val="24"/>
        </w:rPr>
        <w:t>遗漏</w:t>
      </w:r>
      <w:r>
        <w:rPr>
          <w:sz w:val="24"/>
        </w:rPr>
        <w:t>和</w:t>
      </w:r>
      <w:r>
        <w:rPr>
          <w:rFonts w:hint="eastAsia"/>
          <w:sz w:val="24"/>
        </w:rPr>
        <w:t>缺件</w:t>
      </w:r>
      <w:r>
        <w:rPr>
          <w:sz w:val="24"/>
        </w:rPr>
        <w:t>，在清单中并未列入而且确实是卖方供货范围中应该有的，均应由卖方负责补足，且不发生费用。</w:t>
      </w:r>
    </w:p>
    <w:p>
      <w:pPr>
        <w:spacing w:line="400" w:lineRule="exact"/>
        <w:ind w:firstLine="480" w:firstLineChars="200"/>
        <w:rPr>
          <w:sz w:val="24"/>
        </w:rPr>
      </w:pPr>
      <w:r>
        <w:rPr>
          <w:sz w:val="24"/>
        </w:rPr>
        <w:t>(</w:t>
      </w:r>
      <w:r>
        <w:rPr>
          <w:rFonts w:hint="eastAsia"/>
          <w:sz w:val="24"/>
        </w:rPr>
        <w:t>4</w:t>
      </w:r>
      <w:r>
        <w:rPr>
          <w:sz w:val="24"/>
        </w:rPr>
        <w:t>)</w:t>
      </w:r>
      <w:r>
        <w:rPr>
          <w:rFonts w:hint="eastAsia"/>
          <w:sz w:val="24"/>
        </w:rPr>
        <w:t xml:space="preserve"> 服务系指根据合同的规定，卖方应提供的与所供货物有关的辅助服务，如运输、装卸、保险、安装调试、技术援助、人员培训、售后服务等以及合同中规定的卖方应承担的其他义务。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w:t>
      </w:r>
      <w:r>
        <w:rPr>
          <w:rFonts w:hint="eastAsia"/>
          <w:sz w:val="24"/>
        </w:rPr>
        <w:t>5</w:t>
      </w:r>
      <w:r>
        <w:rPr>
          <w:sz w:val="24"/>
        </w:rPr>
        <w:t>)</w:t>
      </w:r>
      <w:r>
        <w:rPr>
          <w:rFonts w:hint="eastAsia"/>
          <w:sz w:val="24"/>
        </w:rPr>
        <w:t xml:space="preserve"> 买方系指“合同条款前附表”第1项中所述的购买货物和服务的单位。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w:t>
      </w:r>
      <w:r>
        <w:rPr>
          <w:rFonts w:hint="eastAsia"/>
          <w:sz w:val="24"/>
        </w:rPr>
        <w:t>6</w:t>
      </w:r>
      <w:r>
        <w:rPr>
          <w:sz w:val="24"/>
        </w:rPr>
        <w:t>)</w:t>
      </w:r>
      <w:r>
        <w:rPr>
          <w:rFonts w:hint="eastAsia"/>
          <w:sz w:val="24"/>
        </w:rPr>
        <w:t xml:space="preserve"> 卖方系指“合同条款前附表”第2项中所述的提供货物和服务的公司或实体。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w:t>
      </w:r>
      <w:r>
        <w:rPr>
          <w:rFonts w:hint="eastAsia"/>
          <w:sz w:val="24"/>
        </w:rPr>
        <w:t>7</w:t>
      </w:r>
      <w:r>
        <w:rPr>
          <w:sz w:val="24"/>
        </w:rPr>
        <w:t>)</w:t>
      </w:r>
      <w:r>
        <w:rPr>
          <w:rFonts w:hint="eastAsia"/>
          <w:sz w:val="24"/>
        </w:rPr>
        <w:t xml:space="preserve"> 项目现场系指“合同条款前附表”第3项中指明的项目实施地点。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w:t>
      </w:r>
      <w:r>
        <w:rPr>
          <w:rFonts w:hint="eastAsia"/>
          <w:sz w:val="24"/>
        </w:rPr>
        <w:t>8</w:t>
      </w:r>
      <w:r>
        <w:rPr>
          <w:sz w:val="24"/>
        </w:rPr>
        <w:t>)</w:t>
      </w:r>
      <w:r>
        <w:rPr>
          <w:rFonts w:hint="eastAsia"/>
          <w:sz w:val="24"/>
        </w:rPr>
        <w:t xml:space="preserve"> “天”系指日历天数。</w:t>
      </w:r>
    </w:p>
    <w:p>
      <w:pPr>
        <w:spacing w:line="400" w:lineRule="exact"/>
        <w:ind w:firstLine="480" w:firstLineChars="200"/>
        <w:rPr>
          <w:rFonts w:ascii="黑体" w:eastAsia="黑体"/>
          <w:sz w:val="24"/>
        </w:rPr>
      </w:pPr>
      <w:r>
        <w:rPr>
          <w:rFonts w:hint="eastAsia" w:ascii="黑体" w:eastAsia="黑体"/>
          <w:sz w:val="24"/>
        </w:rPr>
        <w:t>2  适用性</w:t>
      </w:r>
    </w:p>
    <w:p>
      <w:pPr>
        <w:spacing w:line="400" w:lineRule="exact"/>
        <w:ind w:firstLine="480" w:firstLineChars="200"/>
        <w:rPr>
          <w:sz w:val="24"/>
        </w:rPr>
      </w:pPr>
      <w:r>
        <w:rPr>
          <w:rFonts w:hint="eastAsia"/>
          <w:sz w:val="24"/>
        </w:rPr>
        <w:t>本合同条款适用于未被合同其他部分规定所取代的范围，如出现合同其他部分规定与本合同条款不一致，以本合同条款约定优先适用。</w:t>
      </w:r>
    </w:p>
    <w:p>
      <w:pPr>
        <w:spacing w:line="400" w:lineRule="exact"/>
        <w:ind w:firstLine="480" w:firstLineChars="200"/>
        <w:rPr>
          <w:rFonts w:ascii="黑体" w:eastAsia="黑体"/>
          <w:sz w:val="24"/>
        </w:rPr>
      </w:pPr>
      <w:r>
        <w:rPr>
          <w:rFonts w:hint="eastAsia" w:ascii="黑体" w:eastAsia="黑体"/>
          <w:sz w:val="24"/>
        </w:rPr>
        <w:t>3  适用法律</w:t>
      </w:r>
    </w:p>
    <w:p>
      <w:pPr>
        <w:spacing w:line="400" w:lineRule="exact"/>
        <w:ind w:firstLine="480" w:firstLineChars="200"/>
        <w:rPr>
          <w:sz w:val="24"/>
        </w:rPr>
      </w:pPr>
      <w:r>
        <w:rPr>
          <w:rFonts w:hint="eastAsia"/>
          <w:sz w:val="24"/>
        </w:rPr>
        <w:t>本合同的适用法律为中华人民共和国的现行法律、法规。</w:t>
      </w:r>
    </w:p>
    <w:p>
      <w:pPr>
        <w:spacing w:line="400" w:lineRule="exact"/>
        <w:ind w:firstLine="480" w:firstLineChars="200"/>
        <w:rPr>
          <w:rFonts w:ascii="黑体" w:eastAsia="黑体"/>
          <w:sz w:val="24"/>
        </w:rPr>
      </w:pPr>
      <w:r>
        <w:rPr>
          <w:rFonts w:hint="eastAsia" w:ascii="黑体" w:eastAsia="黑体"/>
          <w:sz w:val="24"/>
        </w:rPr>
        <w:t>4  适用语言和计量单位</w:t>
      </w:r>
    </w:p>
    <w:p>
      <w:pPr>
        <w:spacing w:line="400" w:lineRule="exact"/>
        <w:ind w:firstLine="480" w:firstLineChars="200"/>
        <w:rPr>
          <w:sz w:val="24"/>
        </w:rPr>
      </w:pPr>
      <w:r>
        <w:rPr>
          <w:sz w:val="24"/>
        </w:rPr>
        <w:t>4.1</w:t>
      </w:r>
      <w:r>
        <w:rPr>
          <w:rFonts w:hint="eastAsia"/>
          <w:sz w:val="24"/>
        </w:rPr>
        <w:t xml:space="preserve">  本合同的适用语言为中文，所有与本合同有关的来往函件、通知及其他文件均应使用中文。</w:t>
      </w:r>
    </w:p>
    <w:p>
      <w:pPr>
        <w:spacing w:line="400" w:lineRule="exact"/>
        <w:ind w:firstLine="480" w:firstLineChars="200"/>
        <w:rPr>
          <w:sz w:val="24"/>
        </w:rPr>
      </w:pPr>
      <w:r>
        <w:rPr>
          <w:sz w:val="24"/>
        </w:rPr>
        <w:t>4.2</w:t>
      </w:r>
      <w:r>
        <w:rPr>
          <w:rFonts w:hint="eastAsia"/>
          <w:sz w:val="24"/>
        </w:rPr>
        <w:t xml:space="preserve">  除另有规定外，计量单位应采用中华人民共和国法定计量单位。</w:t>
      </w:r>
    </w:p>
    <w:p>
      <w:pPr>
        <w:spacing w:line="400" w:lineRule="exact"/>
        <w:ind w:firstLine="480" w:firstLineChars="200"/>
        <w:rPr>
          <w:rFonts w:ascii="黑体" w:eastAsia="黑体"/>
          <w:sz w:val="24"/>
        </w:rPr>
      </w:pPr>
      <w:r>
        <w:rPr>
          <w:rFonts w:hint="eastAsia" w:ascii="黑体" w:eastAsia="黑体"/>
          <w:sz w:val="24"/>
        </w:rPr>
        <w:t>5  原产地</w:t>
      </w:r>
    </w:p>
    <w:p>
      <w:pPr>
        <w:spacing w:line="400" w:lineRule="exact"/>
        <w:ind w:firstLine="480" w:firstLineChars="200"/>
        <w:rPr>
          <w:sz w:val="24"/>
        </w:rPr>
      </w:pPr>
      <w:r>
        <w:rPr>
          <w:sz w:val="24"/>
        </w:rPr>
        <w:t>5.1</w:t>
      </w:r>
      <w:r>
        <w:rPr>
          <w:rFonts w:hint="eastAsia"/>
          <w:sz w:val="24"/>
        </w:rPr>
        <w:t xml:space="preserve">  本条所述的“原产地”系指货物的开采、生长或生产地，或者为所供服务的来源地。经过制造、加工的产品或经过实质上组装主要元部件而形成的产品均可称为货物。商业上公认的新产品是指在基本特征、目的或功能上与元部件有实质性区别的产品。</w:t>
      </w:r>
    </w:p>
    <w:p>
      <w:pPr>
        <w:spacing w:line="400" w:lineRule="exact"/>
        <w:ind w:firstLine="480" w:firstLineChars="200"/>
        <w:rPr>
          <w:sz w:val="24"/>
        </w:rPr>
      </w:pPr>
      <w:r>
        <w:rPr>
          <w:sz w:val="24"/>
        </w:rPr>
        <w:t xml:space="preserve">5.2  </w:t>
      </w:r>
      <w:r>
        <w:rPr>
          <w:rFonts w:hint="eastAsia"/>
          <w:sz w:val="24"/>
        </w:rPr>
        <w:t>货物和服务的原产地有别于卖方的国籍。</w:t>
      </w:r>
    </w:p>
    <w:p>
      <w:pPr>
        <w:spacing w:line="400" w:lineRule="exact"/>
        <w:ind w:firstLine="480" w:firstLineChars="200"/>
        <w:rPr>
          <w:rFonts w:ascii="黑体" w:eastAsia="黑体"/>
          <w:sz w:val="24"/>
        </w:rPr>
      </w:pPr>
      <w:r>
        <w:rPr>
          <w:rFonts w:hint="eastAsia" w:ascii="黑体" w:eastAsia="黑体"/>
          <w:sz w:val="24"/>
        </w:rPr>
        <w:t>6  标准和规格</w:t>
      </w:r>
    </w:p>
    <w:p>
      <w:pPr>
        <w:spacing w:line="400" w:lineRule="exact"/>
        <w:ind w:firstLine="480" w:firstLineChars="200"/>
        <w:rPr>
          <w:sz w:val="24"/>
        </w:rPr>
      </w:pPr>
      <w:r>
        <w:rPr>
          <w:sz w:val="24"/>
        </w:rPr>
        <w:t>6.1</w:t>
      </w:r>
      <w:r>
        <w:rPr>
          <w:rFonts w:hint="eastAsia"/>
          <w:sz w:val="24"/>
        </w:rPr>
        <w:t xml:space="preserve">  本合同下交付的货物应与招标文件中规定的“设备选型设计说明”、“技术性能及服务条款”和其附件及其投标（响应）文件的规格偏差表（如有的话）相一致。如果在“设备选型设计说明”、“技术性能及服务条款”和其附件中没有提及适用标准或技术规范说明不明确的，则应符合货物原产地适用的官方标准。这些标准必须是有关机构发布的最新版本的标准。</w:t>
      </w:r>
    </w:p>
    <w:p>
      <w:pPr>
        <w:spacing w:line="400" w:lineRule="exact"/>
        <w:ind w:firstLine="480" w:firstLineChars="200"/>
        <w:rPr>
          <w:sz w:val="24"/>
        </w:rPr>
      </w:pPr>
      <w:r>
        <w:rPr>
          <w:sz w:val="24"/>
        </w:rPr>
        <w:t>6.2</w:t>
      </w:r>
      <w:r>
        <w:rPr>
          <w:rFonts w:hint="eastAsia"/>
          <w:sz w:val="24"/>
        </w:rPr>
        <w:t xml:space="preserve">  本合同下提供的运输、保险、安装调试、质量保证（修）等服务，应符合招标文件和合同规定的要求以及中华人民共和国现行国家标准、行业标准或地方标准中要求高的标准。</w:t>
      </w:r>
    </w:p>
    <w:p>
      <w:pPr>
        <w:spacing w:line="400" w:lineRule="exact"/>
        <w:ind w:firstLine="480" w:firstLineChars="200"/>
        <w:rPr>
          <w:rFonts w:ascii="黑体" w:eastAsia="黑体"/>
          <w:sz w:val="24"/>
        </w:rPr>
      </w:pPr>
      <w:r>
        <w:rPr>
          <w:rFonts w:hint="eastAsia" w:ascii="黑体" w:eastAsia="黑体"/>
          <w:sz w:val="24"/>
        </w:rPr>
        <w:t>7  专利权</w:t>
      </w:r>
    </w:p>
    <w:p>
      <w:pPr>
        <w:spacing w:line="400" w:lineRule="exact"/>
        <w:ind w:firstLine="480" w:firstLineChars="200"/>
        <w:rPr>
          <w:sz w:val="24"/>
        </w:rPr>
      </w:pPr>
      <w:r>
        <w:rPr>
          <w:rFonts w:hint="eastAsia"/>
          <w:sz w:val="24"/>
        </w:rPr>
        <w:t>卖方应保证买方在使用该货物或其任何一部分时，免受第三方提出侵犯其专利权、商标权或工业设计权的起诉。任何第三方如果提出侵权指控，卖方必须与第三方交涉并承担可能发生的一切法律责任和费用。</w:t>
      </w:r>
    </w:p>
    <w:p>
      <w:pPr>
        <w:spacing w:line="400" w:lineRule="exact"/>
        <w:ind w:firstLine="480" w:firstLineChars="200"/>
        <w:rPr>
          <w:rFonts w:ascii="黑体" w:eastAsia="黑体"/>
          <w:sz w:val="24"/>
        </w:rPr>
      </w:pPr>
      <w:r>
        <w:rPr>
          <w:rFonts w:hint="eastAsia" w:ascii="黑体" w:eastAsia="黑体"/>
          <w:sz w:val="24"/>
        </w:rPr>
        <w:t>8  合同价格</w:t>
      </w:r>
    </w:p>
    <w:p>
      <w:pPr>
        <w:spacing w:line="400" w:lineRule="exact"/>
        <w:ind w:firstLine="480" w:firstLineChars="200"/>
        <w:rPr>
          <w:sz w:val="24"/>
        </w:rPr>
      </w:pPr>
      <w:r>
        <w:rPr>
          <w:rFonts w:hint="eastAsia"/>
          <w:sz w:val="24"/>
        </w:rPr>
        <w:t>8.1卖方在正确、完整地履行本合同规定的义务后，买方应向其支付“合同条款前附表”第4项所规定的合同价格。合同价格是卖方将货物运达买方指定的现场并安装调试合格直至交付使用且完成质量保证（修）义务的价格（其中包括卖方自制的或外购的全部设备、材料的价格，随货物提供的备品备件及专用工具的价格），包括设备成本（含备品备件费）、包装费、装卸费、运输费、劳务费、供销部门手续费、环保费、安装部件费、安装调试费、检验和试验费、保险、利润、税金（也含关税、增值税）、人员培训和质量保证（修）等售后服务费、政策性文件规定及合同包含的所有风险、责任等各项应有费用；该合同价格在合同实施期间不因市场变化因素而变动。</w:t>
      </w:r>
    </w:p>
    <w:p>
      <w:pPr>
        <w:spacing w:line="400" w:lineRule="exact"/>
        <w:ind w:firstLine="480" w:firstLineChars="200"/>
        <w:rPr>
          <w:sz w:val="24"/>
        </w:rPr>
      </w:pPr>
      <w:r>
        <w:rPr>
          <w:rFonts w:hint="eastAsia"/>
          <w:sz w:val="24"/>
        </w:rPr>
        <w:t>8.2 在货物安装、调试、验收过程中，如发现有漏洞、缺件，卖方应无条件、无偿补齐，所发生的费用视为已在合同价格之中，且不因此而影响交付买方使用的时间。</w:t>
      </w:r>
    </w:p>
    <w:p>
      <w:pPr>
        <w:spacing w:line="400" w:lineRule="exact"/>
        <w:ind w:firstLine="480" w:firstLineChars="200"/>
        <w:rPr>
          <w:rFonts w:ascii="黑体" w:eastAsia="黑体"/>
          <w:sz w:val="24"/>
        </w:rPr>
      </w:pPr>
      <w:r>
        <w:rPr>
          <w:rFonts w:hint="eastAsia" w:ascii="黑体" w:eastAsia="黑体"/>
          <w:sz w:val="24"/>
        </w:rPr>
        <w:t>9  保险</w:t>
      </w:r>
    </w:p>
    <w:p>
      <w:pPr>
        <w:spacing w:line="400" w:lineRule="exact"/>
        <w:rPr>
          <w:sz w:val="24"/>
        </w:rPr>
      </w:pPr>
      <w:r>
        <w:rPr>
          <w:rFonts w:hint="eastAsia"/>
          <w:sz w:val="24"/>
        </w:rPr>
        <w:t xml:space="preserve">    9.1卖方应负责办理货物从出厂地运抵项目现场途中（包括装卸）的保险，并支付相关费用。</w:t>
      </w:r>
    </w:p>
    <w:p>
      <w:pPr>
        <w:spacing w:line="400" w:lineRule="exact"/>
        <w:rPr>
          <w:sz w:val="24"/>
        </w:rPr>
      </w:pPr>
      <w:r>
        <w:rPr>
          <w:rFonts w:hint="eastAsia"/>
          <w:sz w:val="24"/>
        </w:rPr>
        <w:t xml:space="preserve">    9.2卖方承担了所供货物的安装调试施工服务，即为专项交钥匙工程，卖方应充分考虑在最终验收移交前可能发生的潜在的各类风险，并自行办理相关工程、设备、人员的投保，因为安装调试施工中的安全由卖方自行负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10  包装要求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10.1</w:t>
      </w:r>
      <w:r>
        <w:rPr>
          <w:rFonts w:hint="eastAsia"/>
          <w:sz w:val="24"/>
        </w:rPr>
        <w:t xml:space="preserve">  除在合同中另有规定外，卖方提供的全部货物均应按国家标准保护措施进行包装，这类包装应适应于远距离运输，并能防淋、防晒、防潮、防震、防锈和防野蛮装卸，以确保货物安全无损地运抵项目现场。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10.2</w:t>
      </w:r>
      <w:r>
        <w:rPr>
          <w:rFonts w:hint="eastAsia"/>
          <w:sz w:val="24"/>
        </w:rPr>
        <w:t xml:space="preserve">  每一批货物均应附有详细的货物装箱单、质量证明书、检验合格证书、质保书等，进口产品应附有海关报关单（或成批设备进口报关单复印件），所有上述资料必须随货物一起提供给买方。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11  包装标志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11.1卖方应在每一包装箱的相邻四侧用不褪色的油漆以醒目的中文字样标出每一批货物应标明的包装标志。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11.2根据货物的特点和运输的不同要求，卖方应在包装箱上清楚地标出“小心轻放”、“请勿倒置”和“防潮”等字样以及其它适当的标志。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12  装运条件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12.1</w:t>
      </w:r>
      <w:r>
        <w:rPr>
          <w:rFonts w:hint="eastAsia"/>
          <w:sz w:val="24"/>
        </w:rPr>
        <w:t xml:space="preserve">  卖方应负责将货物从出厂地运抵买方指定的现场，并支付相关费用；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 xml:space="preserve">12.2  </w:t>
      </w:r>
      <w:r>
        <w:rPr>
          <w:rFonts w:hint="eastAsia"/>
          <w:sz w:val="24"/>
        </w:rPr>
        <w:t>卖方装运的货物不应超过合同规定的数量或重量，否则，由此超装而导致的一切后果均应由卖方负责。</w:t>
      </w:r>
    </w:p>
    <w:p>
      <w:pPr>
        <w:spacing w:line="400" w:lineRule="exact"/>
        <w:ind w:firstLine="480" w:firstLineChars="200"/>
        <w:rPr>
          <w:rFonts w:ascii="黑体" w:eastAsia="黑体"/>
          <w:sz w:val="24"/>
        </w:rPr>
      </w:pPr>
      <w:r>
        <w:rPr>
          <w:rFonts w:ascii="黑体" w:eastAsia="黑体"/>
          <w:sz w:val="24"/>
        </w:rPr>
        <w:t>13</w:t>
      </w:r>
      <w:r>
        <w:rPr>
          <w:rFonts w:hint="eastAsia" w:ascii="黑体" w:eastAsia="黑体"/>
          <w:sz w:val="24"/>
        </w:rPr>
        <w:t xml:space="preserve">  装运通知</w:t>
      </w:r>
    </w:p>
    <w:p>
      <w:pPr>
        <w:spacing w:line="400" w:lineRule="exact"/>
        <w:ind w:firstLine="480" w:firstLineChars="200"/>
        <w:rPr>
          <w:sz w:val="24"/>
        </w:rPr>
      </w:pPr>
      <w:r>
        <w:rPr>
          <w:rFonts w:hint="eastAsia"/>
          <w:sz w:val="24"/>
        </w:rPr>
        <w:t>卖方应按下列要求发出装运通知：</w:t>
      </w:r>
    </w:p>
    <w:p>
      <w:pPr>
        <w:spacing w:line="400" w:lineRule="exact"/>
        <w:ind w:firstLine="480" w:firstLineChars="200"/>
        <w:rPr>
          <w:sz w:val="24"/>
        </w:rPr>
      </w:pPr>
      <w:r>
        <w:rPr>
          <w:rFonts w:hint="eastAsia"/>
          <w:sz w:val="24"/>
        </w:rPr>
        <w:t>在合同规定的买方现场工程师书面指定的到货日期的七日之前，以传真或特快专递形式将合同号、货物名称、规格、数量、总重量等通知买方。</w:t>
      </w:r>
    </w:p>
    <w:p>
      <w:pPr>
        <w:spacing w:line="400" w:lineRule="exact"/>
        <w:ind w:firstLine="480" w:firstLineChars="200"/>
        <w:rPr>
          <w:rFonts w:ascii="黑体" w:eastAsia="黑体"/>
          <w:sz w:val="24"/>
        </w:rPr>
      </w:pPr>
      <w:r>
        <w:rPr>
          <w:rFonts w:hint="eastAsia" w:ascii="黑体" w:eastAsia="黑体"/>
          <w:sz w:val="24"/>
        </w:rPr>
        <w:t>14  单据</w:t>
      </w:r>
    </w:p>
    <w:p>
      <w:pPr>
        <w:spacing w:line="400" w:lineRule="exact"/>
        <w:ind w:firstLine="480" w:firstLineChars="200"/>
        <w:rPr>
          <w:sz w:val="24"/>
        </w:rPr>
      </w:pPr>
      <w:r>
        <w:rPr>
          <w:sz w:val="24"/>
        </w:rPr>
        <w:t>14.</w:t>
      </w:r>
      <w:r>
        <w:rPr>
          <w:rFonts w:hint="eastAsia"/>
          <w:sz w:val="24"/>
        </w:rPr>
        <w:t>1  卖方在合同生效后，货物全部送达项目现场后申请支付货款时，应提供下列单据：</w:t>
      </w:r>
    </w:p>
    <w:p>
      <w:pPr>
        <w:spacing w:line="400" w:lineRule="exact"/>
        <w:ind w:firstLine="480" w:firstLineChars="200"/>
        <w:rPr>
          <w:sz w:val="24"/>
        </w:rPr>
      </w:pPr>
      <w:r>
        <w:rPr>
          <w:sz w:val="24"/>
        </w:rPr>
        <w:t>14.1.1</w:t>
      </w:r>
      <w:r>
        <w:rPr>
          <w:rFonts w:hint="eastAsia"/>
          <w:sz w:val="24"/>
        </w:rPr>
        <w:t xml:space="preserve">  金额与要求支付款项相符的商业发票；</w:t>
      </w:r>
    </w:p>
    <w:p>
      <w:pPr>
        <w:spacing w:line="400" w:lineRule="exact"/>
        <w:ind w:firstLine="480" w:firstLineChars="200"/>
        <w:rPr>
          <w:sz w:val="24"/>
        </w:rPr>
      </w:pPr>
      <w:r>
        <w:rPr>
          <w:sz w:val="24"/>
        </w:rPr>
        <w:t>14.1.2</w:t>
      </w:r>
      <w:r>
        <w:rPr>
          <w:rFonts w:hint="eastAsia"/>
          <w:sz w:val="24"/>
        </w:rPr>
        <w:t xml:space="preserve">  制造厂出具的货物检验合格证书；</w:t>
      </w:r>
    </w:p>
    <w:p>
      <w:pPr>
        <w:spacing w:line="400" w:lineRule="exact"/>
        <w:ind w:firstLine="480" w:firstLineChars="200"/>
        <w:rPr>
          <w:sz w:val="24"/>
        </w:rPr>
      </w:pPr>
      <w:r>
        <w:rPr>
          <w:sz w:val="24"/>
        </w:rPr>
        <w:t>14.</w:t>
      </w:r>
      <w:r>
        <w:rPr>
          <w:rFonts w:hint="eastAsia"/>
          <w:sz w:val="24"/>
        </w:rPr>
        <w:t>1</w:t>
      </w:r>
      <w:r>
        <w:rPr>
          <w:sz w:val="24"/>
        </w:rPr>
        <w:t>.</w:t>
      </w:r>
      <w:r>
        <w:rPr>
          <w:rFonts w:hint="eastAsia"/>
          <w:sz w:val="24"/>
        </w:rPr>
        <w:t>3  买方出具的到货检验合格证书；</w:t>
      </w:r>
    </w:p>
    <w:p>
      <w:pPr>
        <w:spacing w:line="400" w:lineRule="exact"/>
        <w:ind w:firstLine="480" w:firstLineChars="200"/>
        <w:rPr>
          <w:sz w:val="24"/>
        </w:rPr>
      </w:pPr>
      <w:r>
        <w:rPr>
          <w:sz w:val="24"/>
        </w:rPr>
        <w:t>14.</w:t>
      </w:r>
      <w:r>
        <w:rPr>
          <w:rFonts w:hint="eastAsia"/>
          <w:sz w:val="24"/>
        </w:rPr>
        <w:t>2  成套设备安装调试合格，试运转完成并经相关部门验收通过后向买方书面提出付款要求时，提供下列单据：</w:t>
      </w:r>
    </w:p>
    <w:p>
      <w:pPr>
        <w:spacing w:line="400" w:lineRule="exact"/>
        <w:ind w:firstLine="480" w:firstLineChars="200"/>
        <w:rPr>
          <w:sz w:val="24"/>
        </w:rPr>
      </w:pPr>
      <w:r>
        <w:rPr>
          <w:rFonts w:hint="eastAsia"/>
          <w:sz w:val="24"/>
        </w:rPr>
        <w:t>14.2.1  已提供全额的商业发票；</w:t>
      </w:r>
    </w:p>
    <w:p>
      <w:pPr>
        <w:spacing w:line="400" w:lineRule="exact"/>
        <w:ind w:firstLine="480" w:firstLineChars="200"/>
        <w:rPr>
          <w:sz w:val="24"/>
        </w:rPr>
      </w:pPr>
      <w:r>
        <w:rPr>
          <w:sz w:val="24"/>
        </w:rPr>
        <w:t>14.</w:t>
      </w:r>
      <w:r>
        <w:rPr>
          <w:rFonts w:hint="eastAsia"/>
          <w:sz w:val="24"/>
        </w:rPr>
        <w:t>2</w:t>
      </w:r>
      <w:r>
        <w:rPr>
          <w:sz w:val="24"/>
        </w:rPr>
        <w:t>.</w:t>
      </w:r>
      <w:r>
        <w:rPr>
          <w:rFonts w:hint="eastAsia"/>
          <w:sz w:val="24"/>
        </w:rPr>
        <w:t>2  安装调试结束并通过验收的相关证明材料。</w:t>
      </w:r>
    </w:p>
    <w:p>
      <w:pPr>
        <w:spacing w:line="400" w:lineRule="exact"/>
        <w:ind w:firstLine="480" w:firstLineChars="200"/>
        <w:rPr>
          <w:rFonts w:ascii="黑体" w:eastAsia="黑体"/>
          <w:sz w:val="24"/>
        </w:rPr>
      </w:pPr>
      <w:r>
        <w:rPr>
          <w:rFonts w:ascii="黑体" w:eastAsia="黑体"/>
          <w:sz w:val="24"/>
        </w:rPr>
        <w:t>15</w:t>
      </w:r>
      <w:r>
        <w:rPr>
          <w:rFonts w:hint="eastAsia" w:ascii="黑体" w:eastAsia="黑体"/>
          <w:sz w:val="24"/>
        </w:rPr>
        <w:t xml:space="preserve">  支付</w:t>
      </w:r>
    </w:p>
    <w:p>
      <w:pPr>
        <w:spacing w:line="400" w:lineRule="exact"/>
        <w:ind w:firstLine="480" w:firstLineChars="200"/>
        <w:rPr>
          <w:sz w:val="24"/>
        </w:rPr>
      </w:pPr>
      <w:r>
        <w:rPr>
          <w:sz w:val="24"/>
        </w:rPr>
        <w:t>15.1</w:t>
      </w:r>
      <w:r>
        <w:rPr>
          <w:rFonts w:hint="eastAsia"/>
          <w:sz w:val="24"/>
        </w:rPr>
        <w:t xml:space="preserve">  价格应以“合同条款前附表”第4项中所规定的币种支付。</w:t>
      </w:r>
    </w:p>
    <w:p>
      <w:pPr>
        <w:spacing w:line="400" w:lineRule="exact"/>
        <w:ind w:firstLine="480" w:firstLineChars="200"/>
        <w:rPr>
          <w:sz w:val="24"/>
        </w:rPr>
      </w:pPr>
      <w:r>
        <w:rPr>
          <w:sz w:val="24"/>
        </w:rPr>
        <w:t xml:space="preserve">15.2  </w:t>
      </w:r>
      <w:r>
        <w:rPr>
          <w:rFonts w:hint="eastAsia"/>
          <w:sz w:val="24"/>
        </w:rPr>
        <w:t>买方应按“合同条款前附表”第5项中所规定的付款计划完成合同价格的支付，逾期按应付款同期银行贷款利率两倍计算的利息承担违约金。</w:t>
      </w:r>
    </w:p>
    <w:p>
      <w:pPr>
        <w:spacing w:line="400" w:lineRule="exact"/>
        <w:ind w:firstLine="480" w:firstLineChars="200"/>
        <w:rPr>
          <w:sz w:val="24"/>
        </w:rPr>
      </w:pPr>
      <w:r>
        <w:rPr>
          <w:sz w:val="24"/>
        </w:rPr>
        <w:t>15.3</w:t>
      </w:r>
      <w:r>
        <w:rPr>
          <w:rFonts w:hint="eastAsia"/>
          <w:sz w:val="24"/>
        </w:rPr>
        <w:t xml:space="preserve">  卖方应以书面形式提出付款要求，并附上“合同条款”第14条规定的单据以及合同规定的有关义务已经履行的证明。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15.4</w:t>
      </w:r>
      <w:r>
        <w:rPr>
          <w:rFonts w:hint="eastAsia"/>
          <w:sz w:val="24"/>
        </w:rPr>
        <w:t xml:space="preserve">  买方的付款应当及时，在任何情况下，支付应在收到卖方的书面付款要求以及“合同条款”第14条规定单据并经审核无误后的10天内完成。如买方在审核有关单据时发现了错误或问题，应及时以书面形式通知卖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15.5</w:t>
      </w:r>
      <w:r>
        <w:rPr>
          <w:rFonts w:hint="eastAsia"/>
          <w:sz w:val="24"/>
        </w:rPr>
        <w:t xml:space="preserve">  卖方未及时开具票据或提供相应证明，买方有权拒绝付款且不承担违约责任，同时卖方不得以此拖延、拒绝履行交货、安装调试及验收交付的义务。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15.6  支付过程中发生的银行费用应由各方各自承担。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16  检验和验收</w:t>
      </w:r>
    </w:p>
    <w:p>
      <w:pPr>
        <w:spacing w:line="400" w:lineRule="exact"/>
        <w:ind w:firstLine="480" w:firstLineChars="200"/>
        <w:rPr>
          <w:sz w:val="24"/>
        </w:rPr>
      </w:pPr>
      <w:r>
        <w:rPr>
          <w:sz w:val="24"/>
        </w:rPr>
        <w:t xml:space="preserve">16.1 </w:t>
      </w:r>
      <w:r>
        <w:rPr>
          <w:rFonts w:hint="eastAsia"/>
          <w:sz w:val="24"/>
        </w:rPr>
        <w:t xml:space="preserve"> 在货物制造过程中，买方有权派人参与监造，卖方应对此给予配合和支持，并给买方监造人员提供工作和生活上的方便。买方人员不签署任何质量证明，买方人员参与监造不解除卖方的任何责任，也不替代到货后的检验和验收。</w:t>
      </w:r>
    </w:p>
    <w:p>
      <w:pPr>
        <w:spacing w:line="400" w:lineRule="exact"/>
        <w:ind w:firstLine="480" w:firstLineChars="200"/>
        <w:rPr>
          <w:sz w:val="24"/>
        </w:rPr>
      </w:pPr>
      <w:r>
        <w:rPr>
          <w:rFonts w:hint="eastAsia"/>
          <w:sz w:val="24"/>
        </w:rPr>
        <w:t>16.2  在交货前，制造厂应对货物的质量、规格、性能、数量和重量等进行全面、细致的检验，并出具证明货物符合合同规定的检验合格证书，检验合格证书是支付交货付款所需单据之一，但不能作为有关质量、规格、性能、数量或重量等的最终检验凭证。制造厂检验的结果和细节应附在检验合格证书之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16.</w:t>
      </w:r>
      <w:r>
        <w:rPr>
          <w:rFonts w:hint="eastAsia"/>
          <w:sz w:val="24"/>
        </w:rPr>
        <w:t>3  货物运抵现场后，买方对货物的规格、数量、重量和随货提供的资料进行检验，出具到货检验合格证书之日视为卖方送货完成。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16.</w:t>
      </w:r>
      <w:r>
        <w:rPr>
          <w:rFonts w:hint="eastAsia"/>
          <w:sz w:val="24"/>
        </w:rPr>
        <w:t>4  买方或其代表应有权对货物进行检验，以确认货物是否符合规格、数量、重量和随货提供资料方面的要求，并且不承担额外的费用。买方应及时将进行检验的代表身份情况告知卖方。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16.</w:t>
      </w:r>
      <w:r>
        <w:rPr>
          <w:rFonts w:hint="eastAsia"/>
          <w:sz w:val="24"/>
        </w:rPr>
        <w:t>5  上述检验在项目现场进行，卖方应对检验工作免费提供合理的协助并借用可能需要的专用仪器或仪表。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16.</w:t>
      </w:r>
      <w:r>
        <w:rPr>
          <w:rFonts w:hint="eastAsia"/>
          <w:sz w:val="24"/>
        </w:rPr>
        <w:t>6  如果被检验的货物不能满足规格、数量、重量和随货提供资料方面的要求，买方可能拒绝接受该货物，卖方应免费更换被拒绝的货物。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16.</w:t>
      </w:r>
      <w:r>
        <w:rPr>
          <w:rFonts w:hint="eastAsia"/>
          <w:sz w:val="24"/>
        </w:rPr>
        <w:t>7  买方在货物运抵项目现场后对其进行检验以及必要时拒绝接受该货物的权力，将不会因为货物在其出厂地启运前通过了买方或其代表的检验及认可而受到限制或放弃。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16.</w:t>
      </w:r>
      <w:r>
        <w:rPr>
          <w:rFonts w:hint="eastAsia"/>
          <w:sz w:val="24"/>
        </w:rPr>
        <w:t>8 在货物到达项目现场后，卖方应及时以书面形式通知买方进行检验。买方应在收到检验通知后的2天之内开始进行检验。</w:t>
      </w:r>
    </w:p>
    <w:p>
      <w:pPr>
        <w:spacing w:line="400" w:lineRule="exact"/>
        <w:ind w:firstLine="480" w:firstLineChars="200"/>
        <w:rPr>
          <w:sz w:val="24"/>
        </w:rPr>
      </w:pPr>
      <w:r>
        <w:rPr>
          <w:sz w:val="24"/>
        </w:rPr>
        <w:t>16.</w:t>
      </w:r>
      <w:r>
        <w:rPr>
          <w:rFonts w:hint="eastAsia"/>
          <w:sz w:val="24"/>
        </w:rPr>
        <w:t>9 买卖双方应在货物检验合格后的2天之内签署到货检验合格证书。</w:t>
      </w:r>
    </w:p>
    <w:p>
      <w:pPr>
        <w:spacing w:line="400" w:lineRule="exact"/>
        <w:ind w:firstLine="480" w:firstLineChars="200"/>
        <w:rPr>
          <w:sz w:val="24"/>
        </w:rPr>
      </w:pPr>
      <w:r>
        <w:rPr>
          <w:rFonts w:hint="eastAsia"/>
          <w:sz w:val="24"/>
        </w:rPr>
        <w:t>16.10  买方对货物质量的检验适用质量保证（修）期的规定。</w:t>
      </w:r>
    </w:p>
    <w:p>
      <w:pPr>
        <w:spacing w:line="400" w:lineRule="exact"/>
        <w:ind w:firstLine="480" w:firstLineChars="200"/>
        <w:rPr>
          <w:sz w:val="24"/>
        </w:rPr>
      </w:pPr>
      <w:r>
        <w:rPr>
          <w:rFonts w:hint="eastAsia"/>
          <w:sz w:val="24"/>
        </w:rPr>
        <w:t>16.11  因卖方承担了所供货物安装调试施工服务，为专项交钥匙工程，货物到达项目现场后仍由卖方承担保管责任和费用。</w:t>
      </w:r>
    </w:p>
    <w:p>
      <w:pPr>
        <w:spacing w:line="400" w:lineRule="exact"/>
        <w:ind w:firstLine="480" w:firstLineChars="200"/>
        <w:rPr>
          <w:sz w:val="24"/>
        </w:rPr>
      </w:pPr>
      <w:r>
        <w:rPr>
          <w:rFonts w:hint="eastAsia"/>
          <w:sz w:val="24"/>
        </w:rPr>
        <w:t>16.12  卖方在安装施工质量、工期、安全和现场文明施工等方面应服从买方的管理，并与买方密切配合，共同实现合同所确定的目标。</w:t>
      </w:r>
    </w:p>
    <w:p>
      <w:pPr>
        <w:spacing w:line="400" w:lineRule="exact"/>
        <w:ind w:firstLine="480"/>
        <w:rPr>
          <w:sz w:val="24"/>
        </w:rPr>
      </w:pPr>
      <w:r>
        <w:rPr>
          <w:rFonts w:hint="eastAsia"/>
          <w:sz w:val="24"/>
        </w:rPr>
        <w:t>16.13 卖方在安装调试结束后，应根据设计方案和验收规范自行验收。</w:t>
      </w:r>
      <w:r>
        <w:rPr>
          <w:rFonts w:hint="eastAsia"/>
          <w:sz w:val="24"/>
          <w:lang w:val="en-US" w:eastAsia="zh-CN"/>
        </w:rPr>
        <w:t>设备安装调试试</w:t>
      </w:r>
      <w:r>
        <w:rPr>
          <w:rFonts w:hint="eastAsia"/>
          <w:sz w:val="24"/>
        </w:rPr>
        <w:t>运行3个月后，由招标单位组织验收</w:t>
      </w:r>
      <w:r>
        <w:rPr>
          <w:rFonts w:hint="eastAsia"/>
          <w:sz w:val="24"/>
          <w:lang w:eastAsia="zh-CN"/>
        </w:rPr>
        <w:t>。</w:t>
      </w:r>
      <w:r>
        <w:rPr>
          <w:rFonts w:hint="eastAsia"/>
          <w:sz w:val="24"/>
          <w:lang w:val="en-US" w:eastAsia="zh-CN"/>
        </w:rPr>
        <w:t>中标方</w:t>
      </w:r>
      <w:r>
        <w:rPr>
          <w:rFonts w:hint="eastAsia"/>
          <w:sz w:val="24"/>
        </w:rPr>
        <w:t>提供相关</w:t>
      </w:r>
      <w:r>
        <w:rPr>
          <w:rFonts w:hint="eastAsia"/>
          <w:sz w:val="24"/>
          <w:lang w:val="en-US" w:eastAsia="zh-CN"/>
        </w:rPr>
        <w:t>合格证、</w:t>
      </w:r>
      <w:r>
        <w:rPr>
          <w:rFonts w:hint="eastAsia"/>
          <w:sz w:val="24"/>
        </w:rPr>
        <w:t>证明材料、随机资料等</w:t>
      </w:r>
      <w:r>
        <w:rPr>
          <w:rFonts w:hint="eastAsia"/>
          <w:sz w:val="24"/>
          <w:lang w:eastAsia="zh-CN"/>
        </w:rPr>
        <w:t>。</w:t>
      </w:r>
      <w:r>
        <w:rPr>
          <w:rFonts w:hint="eastAsia"/>
          <w:sz w:val="24"/>
        </w:rPr>
        <w:t>只要有一项不符合采购方要求就为验收不合格，验收不合格，采购方不付款。</w:t>
      </w:r>
    </w:p>
    <w:p>
      <w:pPr>
        <w:spacing w:line="400" w:lineRule="exact"/>
        <w:ind w:firstLine="480"/>
        <w:rPr>
          <w:sz w:val="24"/>
        </w:rPr>
      </w:pPr>
      <w:r>
        <w:rPr>
          <w:rFonts w:hint="eastAsia"/>
          <w:sz w:val="24"/>
        </w:rPr>
        <w:t>16.14 卖方的货物经其安装调试并通过买方的验收日期视为卖方的交货完成日期和质量保证（修）期的起算日，据此双方应签署工程（交货）竣工验收合格证书。</w:t>
      </w:r>
    </w:p>
    <w:p>
      <w:pPr>
        <w:spacing w:line="400" w:lineRule="exact"/>
        <w:ind w:firstLine="480"/>
        <w:rPr>
          <w:sz w:val="24"/>
        </w:rPr>
      </w:pPr>
      <w:r>
        <w:rPr>
          <w:sz w:val="24"/>
        </w:rPr>
        <w:t>16.</w:t>
      </w:r>
      <w:r>
        <w:rPr>
          <w:rFonts w:hint="eastAsia"/>
          <w:sz w:val="24"/>
        </w:rPr>
        <w:t>15  “合同条款”第</w:t>
      </w:r>
      <w:r>
        <w:rPr>
          <w:sz w:val="24"/>
        </w:rPr>
        <w:t>16.1-16.</w:t>
      </w:r>
      <w:r>
        <w:rPr>
          <w:rFonts w:hint="eastAsia"/>
          <w:sz w:val="24"/>
        </w:rPr>
        <w:t>14条的规定无论如何也不能免除卖方在本合同项下的质量保证（修）义务及其他义务。</w:t>
      </w:r>
    </w:p>
    <w:p>
      <w:pPr>
        <w:spacing w:line="400" w:lineRule="exact"/>
        <w:ind w:firstLine="480" w:firstLineChars="200"/>
        <w:rPr>
          <w:rFonts w:ascii="黑体" w:eastAsia="黑体"/>
          <w:sz w:val="24"/>
        </w:rPr>
      </w:pPr>
      <w:r>
        <w:rPr>
          <w:rFonts w:hint="eastAsia" w:ascii="黑体" w:eastAsia="黑体"/>
          <w:sz w:val="24"/>
        </w:rPr>
        <w:t>17  质量保证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 xml:space="preserve">17.1 </w:t>
      </w:r>
      <w:r>
        <w:rPr>
          <w:rFonts w:hint="eastAsia"/>
          <w:sz w:val="24"/>
        </w:rPr>
        <w:t xml:space="preserve"> 卖方保证所供货物是全新的、未使用过的，并完全符合合同规定的质量、规格和性能要求。卖方应保证其货物在正确安装、正常使用和正常保养的条件下，在其预计使用寿命期内均具有满意的性能。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17.2</w:t>
      </w:r>
      <w:r>
        <w:rPr>
          <w:rFonts w:hint="eastAsia"/>
          <w:sz w:val="24"/>
        </w:rPr>
        <w:t xml:space="preserve">  根据当地有关部门的检验结果，或者在货物的质量保证（修）期内，发现其数量、质量或规格与合同不符，或发现设计、工艺、材料有瑕疵，或证实货物是有缺陷的，包括潜在的缺陷或使用不符合要求的材料等，买方应尽快以书面通知形式向卖方提出本保证条款下的索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17.3</w:t>
      </w:r>
      <w:r>
        <w:rPr>
          <w:rFonts w:hint="eastAsia"/>
          <w:sz w:val="24"/>
        </w:rPr>
        <w:t xml:space="preserve">  卖方在收到通知后，在其服务承诺的时间内负责免费维修、更换有缺陷的货物或部件。否则买方可采取必要的补救措施，但风险和费用将由卖方承担，且买方根据合同规定对卖方行使的其他权利不受影响。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 xml:space="preserve">17.4 </w:t>
      </w:r>
      <w:r>
        <w:rPr>
          <w:rFonts w:hint="eastAsia"/>
          <w:sz w:val="24"/>
        </w:rPr>
        <w:t xml:space="preserve"> 如在质量保证（修）期满之时，未发生</w:t>
      </w:r>
      <w:r>
        <w:rPr>
          <w:sz w:val="24"/>
        </w:rPr>
        <w:t>17.2</w:t>
      </w:r>
      <w:r>
        <w:rPr>
          <w:rFonts w:hint="eastAsia"/>
          <w:sz w:val="24"/>
        </w:rPr>
        <w:t>条所述的索赔事宜，或虽发生但双方已按约处理结束，则买卖双方应在7天之内签署质量保证（修）期期满合格证书。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17.5  在保证（修）期内，同一货物或部件由于同一质量问题经过连续两次维修仍无法正常使用的，卖方应无条件给予全套更换，并相应延长质量保证（修）期。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18  索赔</w:t>
      </w:r>
    </w:p>
    <w:p>
      <w:pPr>
        <w:spacing w:line="400" w:lineRule="exact"/>
        <w:ind w:left="13" w:leftChars="6" w:firstLine="465" w:firstLineChars="194"/>
        <w:rPr>
          <w:sz w:val="24"/>
        </w:rPr>
      </w:pPr>
      <w:r>
        <w:rPr>
          <w:sz w:val="24"/>
        </w:rPr>
        <w:t>18.1</w:t>
      </w:r>
      <w:r>
        <w:rPr>
          <w:rFonts w:hint="eastAsia"/>
          <w:sz w:val="24"/>
        </w:rPr>
        <w:t xml:space="preserve">  买方有权根据当地有关部门出具的检验证书向卖方提出索赔。</w:t>
      </w:r>
    </w:p>
    <w:p>
      <w:pPr>
        <w:spacing w:line="400" w:lineRule="exact"/>
        <w:ind w:firstLine="480" w:firstLineChars="200"/>
        <w:rPr>
          <w:sz w:val="24"/>
        </w:rPr>
      </w:pPr>
      <w:r>
        <w:rPr>
          <w:sz w:val="24"/>
        </w:rPr>
        <w:t xml:space="preserve">18.2 </w:t>
      </w:r>
      <w:r>
        <w:rPr>
          <w:rFonts w:hint="eastAsia"/>
          <w:sz w:val="24"/>
        </w:rPr>
        <w:t xml:space="preserve"> 在“合同条款”第17条规定的质量保证（修）期内，如果卖方对货物缺陷负有责任而买方提出了索赔，则卖方应按买方同意的下列一种或多种方式解决索赔事宜：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18.2.1</w:t>
      </w:r>
      <w:r>
        <w:rPr>
          <w:rFonts w:hint="eastAsia"/>
          <w:sz w:val="24"/>
        </w:rPr>
        <w:t xml:space="preserve">  卖方同意退货并用合同规定的货币将货款退还给买方，同时承担由此而导致的一切损失和费用，包括利息、银行手续费、运费、保险费、检验费、仓储费、装卸费以及为保护退回货物所需的其他费用；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 xml:space="preserve">18.2.2  </w:t>
      </w:r>
      <w:r>
        <w:rPr>
          <w:rFonts w:hint="eastAsia"/>
          <w:sz w:val="24"/>
        </w:rPr>
        <w:t>根据货物的低劣和损坏程度以及买方遭受的损失金额，经过双方商定，降低货物的价格，并及时将差额部分退还给买方；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18.2.3</w:t>
      </w:r>
      <w:r>
        <w:rPr>
          <w:rFonts w:hint="eastAsia"/>
          <w:sz w:val="24"/>
        </w:rPr>
        <w:t xml:space="preserve">  用规格、质量和性能符合合同要求的新货物来更换有缺陷的部分，卖方应承担由此而导致的一切费用和保险，并负担买方因此而蒙受的全部直接经济损失。同时，卖方应按“合同条款”条17条的规定，相应延长更换货物的质量保证（修）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18.</w:t>
      </w:r>
      <w:r>
        <w:rPr>
          <w:rFonts w:hint="eastAsia"/>
          <w:sz w:val="24"/>
        </w:rPr>
        <w:t>3  如果在买方发出索赔通知后的28天内，卖方未作答复，上述索赔应视为已被卖方接受。如卖方未能在买方发出索赔通知后的28天内或在买方同意的延长期限内，按照“合同条款”第</w:t>
      </w:r>
      <w:r>
        <w:rPr>
          <w:sz w:val="24"/>
        </w:rPr>
        <w:t xml:space="preserve">18.2 </w:t>
      </w:r>
      <w:r>
        <w:rPr>
          <w:rFonts w:hint="eastAsia"/>
          <w:sz w:val="24"/>
        </w:rPr>
        <w:t>条规定的任何一种或多种方法解决索赔事宜并使买方满意，买方将从卖方留存的履约保证金中扣回索赔金额而无需通过诉讼程序确认；如果索赔金额高于卖方留存的履约保证金或履约保证金已退还卖方，买方有权依约另行主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19  通知与送达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 xml:space="preserve">19.1 </w:t>
      </w:r>
      <w:r>
        <w:rPr>
          <w:rFonts w:hint="eastAsia"/>
          <w:sz w:val="24"/>
        </w:rPr>
        <w:t xml:space="preserve"> 本合同一方按照合同约定或法律规定向另一方送达任何文件、通知、回复及其他任何联系，必须用书面形式，且采用直接送达、传真、特快专递、挂号邮寄的方式，送达本合同所列另一方的地址或另一方以本条所述方式通知变更后的地址。如以直接送达的方式送达，则于另一方签收时视为送达；如以传真方式，在传真到达对方时视为已送达另一方，但须随后补发信函确认；如以特快专递方式，在投邮后（以寄出邮戳为准）第二日被视为已送达另一方；如以挂号邮寄的方式，在投邮后（以寄出邮戳为准）第四日将被视为已送达另一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rFonts w:hint="eastAsia"/>
          <w:sz w:val="24"/>
        </w:rPr>
        <w:t>19.2.  文件、通知、回复等联系资料以送达之日或文件、通知、回复中规定的生效之日为生效日期，两个日期中以较晚的一个为准。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20  变更指令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20.1</w:t>
      </w:r>
      <w:r>
        <w:rPr>
          <w:rFonts w:hint="eastAsia"/>
          <w:sz w:val="24"/>
        </w:rPr>
        <w:t xml:space="preserve">  根据“合同条款”第19条规定，买方可在任何时候向卖方发出书面指令，以在本合同的一般范围内变更下列一项或几项：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 xml:space="preserve">20.1.1 </w:t>
      </w:r>
      <w:r>
        <w:rPr>
          <w:rFonts w:hint="eastAsia"/>
          <w:sz w:val="24"/>
        </w:rPr>
        <w:t xml:space="preserve"> 本合同项下提供的货物是专为买方制造时，变更设计、图样或规格；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20.1.2</w:t>
      </w:r>
      <w:r>
        <w:rPr>
          <w:rFonts w:hint="eastAsia"/>
          <w:sz w:val="24"/>
        </w:rPr>
        <w:t xml:space="preserve">  货物的运输或包装方法或交货地点。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rPr>
      </w:pPr>
      <w:r>
        <w:rPr>
          <w:sz w:val="24"/>
        </w:rPr>
        <w:t>20.2</w:t>
      </w:r>
      <w:r>
        <w:rPr>
          <w:rFonts w:hint="eastAsia"/>
          <w:sz w:val="24"/>
        </w:rPr>
        <w:t xml:space="preserve">  如果上述变更使卖方履行合同义务的费用和</w:t>
      </w:r>
      <w:r>
        <w:rPr>
          <w:sz w:val="24"/>
        </w:rPr>
        <w:t>(</w:t>
      </w:r>
      <w:r>
        <w:rPr>
          <w:rFonts w:hint="eastAsia"/>
          <w:sz w:val="24"/>
        </w:rPr>
        <w:t>或</w:t>
      </w:r>
      <w:r>
        <w:rPr>
          <w:sz w:val="24"/>
        </w:rPr>
        <w:t>)</w:t>
      </w:r>
      <w:r>
        <w:rPr>
          <w:rFonts w:hint="eastAsia"/>
          <w:sz w:val="24"/>
        </w:rPr>
        <w:t>时间发生了增加或减少，则相应的合同价格和</w:t>
      </w:r>
      <w:r>
        <w:rPr>
          <w:sz w:val="24"/>
        </w:rPr>
        <w:t>(</w:t>
      </w:r>
      <w:r>
        <w:rPr>
          <w:rFonts w:hint="eastAsia"/>
          <w:sz w:val="24"/>
        </w:rPr>
        <w:t>或</w:t>
      </w:r>
      <w:r>
        <w:rPr>
          <w:sz w:val="24"/>
        </w:rPr>
        <w:t>)</w:t>
      </w:r>
      <w:r>
        <w:rPr>
          <w:rFonts w:hint="eastAsia"/>
          <w:sz w:val="24"/>
        </w:rPr>
        <w:t>交货时间作合理的调整，同时应对合同作相应的修改。卖方根据本条进行调整的要求必须在收到买方的变更指令后的28天内提出。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ascii="黑体" w:eastAsia="黑体"/>
          <w:sz w:val="24"/>
        </w:rPr>
        <w:t>21</w:t>
      </w:r>
      <w:r>
        <w:rPr>
          <w:rFonts w:hint="eastAsia" w:ascii="黑体" w:eastAsia="黑体"/>
          <w:sz w:val="24"/>
        </w:rPr>
        <w:t xml:space="preserve">  合同修改</w:t>
      </w:r>
    </w:p>
    <w:p>
      <w:pPr>
        <w:spacing w:line="400" w:lineRule="exact"/>
        <w:rPr>
          <w:sz w:val="24"/>
        </w:rPr>
      </w:pPr>
      <w:r>
        <w:rPr>
          <w:rFonts w:hint="eastAsia"/>
          <w:sz w:val="24"/>
        </w:rPr>
        <w:t xml:space="preserve">    除“合同条款”第20条的规定外，任何对合同条件的变更或修改均须由双方签订书面修改协议。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22  卖方履约期间</w:t>
      </w:r>
    </w:p>
    <w:p>
      <w:pPr>
        <w:widowControl/>
        <w:tabs>
          <w:tab w:val="left" w:pos="1260"/>
        </w:tabs>
        <w:spacing w:line="440" w:lineRule="exact"/>
        <w:ind w:firstLine="480" w:firstLineChars="200"/>
        <w:jc w:val="left"/>
        <w:rPr>
          <w:rFonts w:hint="eastAsia" w:ascii="方正仿宋_GBK" w:hAnsi="方正仿宋_GBK" w:eastAsia="方正仿宋_GBK" w:cs="方正仿宋_GBK"/>
          <w:sz w:val="28"/>
          <w:szCs w:val="28"/>
        </w:rPr>
      </w:pPr>
      <w:r>
        <w:rPr>
          <w:sz w:val="24"/>
        </w:rPr>
        <w:t>22.1</w:t>
      </w:r>
      <w:r>
        <w:rPr>
          <w:rFonts w:hint="eastAsia"/>
          <w:sz w:val="24"/>
        </w:rPr>
        <w:t>在合同签订之日起30个日历天内把货物送至买方指定地点，运费由卖方承担；货物交付后30个工作日内，卖方应按买方要求安装调试完毕。本次设备安装调试试运行3个月后，由买方组织验收。卖方提供相关合格证、证明材料、随机资料等。只要有一项不符合买方要求就为验收不合格，验收不合格，买方不付款。逾期交货，按500元/日的违约金从货款中扣除。除不可抗力的原因外，卖方超过合同规定的履行期限十日内仍不能交付本合同项目货物的，视为不能交货，买方有权选择决定是否继续履行本合同，如买方决定终止本合同的履行，则卖方必须承担不能交货的违约责任。</w:t>
      </w:r>
    </w:p>
    <w:p>
      <w:pPr>
        <w:spacing w:line="400" w:lineRule="exact"/>
        <w:ind w:firstLine="480" w:firstLineChars="200"/>
        <w:rPr>
          <w:sz w:val="24"/>
        </w:rPr>
      </w:pPr>
      <w:r>
        <w:rPr>
          <w:sz w:val="24"/>
        </w:rPr>
        <w:t>22.2</w:t>
      </w:r>
      <w:r>
        <w:rPr>
          <w:rFonts w:hint="eastAsia"/>
          <w:sz w:val="24"/>
        </w:rPr>
        <w:t xml:space="preserve">  在履行合同过程中，如果卖方遇到了可能妨碍按时交货或提供服务的情况时，应及时以书面形式将拖延的原因、可能拖延的时间及理由通知买方。买方在收到卖方的通知后，应尽快对所述情况进行评价，并确定是否通过修改合同，酌情延长交货时间或延期提供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23  误期赔偿</w:t>
      </w:r>
    </w:p>
    <w:p>
      <w:pPr>
        <w:spacing w:line="400" w:lineRule="exact"/>
        <w:ind w:firstLine="480"/>
        <w:rPr>
          <w:sz w:val="24"/>
        </w:rPr>
      </w:pPr>
      <w:r>
        <w:rPr>
          <w:rFonts w:hint="eastAsia"/>
          <w:sz w:val="24"/>
        </w:rPr>
        <w:t>除“合同条款”第24条规定外，如果卖方没有按照合同规定的期限交货或提供服务，买方将从合同价款中扣除误期赔偿费，且不会因此而影响在合同项下要求卖方采取其他补救措施。并处每延误一天交付买方使用的，按合同价格1%罚款，直至交付买方使用为止；每延误一天提供质量保证（修）服务的，按合同价格的1%罚款，直至完成保证（修）服务至买方满意为止。买方也可考虑根据“合同条款”第28条的规定终止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黑体" w:eastAsia="黑体"/>
          <w:sz w:val="24"/>
        </w:rPr>
      </w:pPr>
      <w:r>
        <w:rPr>
          <w:rFonts w:hint="eastAsia" w:ascii="黑体" w:eastAsia="黑体"/>
          <w:sz w:val="24"/>
        </w:rPr>
        <w:t>24  不可抗力</w:t>
      </w:r>
    </w:p>
    <w:p>
      <w:pPr>
        <w:spacing w:line="400" w:lineRule="exact"/>
        <w:ind w:firstLine="480" w:firstLineChars="200"/>
        <w:rPr>
          <w:sz w:val="24"/>
        </w:rPr>
      </w:pPr>
      <w:r>
        <w:rPr>
          <w:sz w:val="24"/>
        </w:rPr>
        <w:t xml:space="preserve">24.1 </w:t>
      </w:r>
      <w:r>
        <w:rPr>
          <w:rFonts w:hint="eastAsia"/>
          <w:sz w:val="24"/>
        </w:rPr>
        <w:t xml:space="preserve"> 如果因不可抗力而导致合同实施延误或不能履行合同义务的话，受不可抗力影响的一方不应承担违约责任</w:t>
      </w:r>
      <w:r>
        <w:rPr>
          <w:sz w:val="24"/>
        </w:rPr>
        <w:t>(</w:t>
      </w:r>
      <w:r>
        <w:rPr>
          <w:rFonts w:hint="eastAsia"/>
          <w:sz w:val="24"/>
        </w:rPr>
        <w:t>包括误期赔偿责任、被没收履约保证金或被终止合同等</w:t>
      </w:r>
      <w:r>
        <w:rPr>
          <w:sz w:val="24"/>
        </w:rPr>
        <w:t>)</w:t>
      </w:r>
      <w:r>
        <w:rPr>
          <w:rFonts w:hint="eastAsia"/>
          <w:sz w:val="24"/>
        </w:rPr>
        <w:t>。</w:t>
      </w:r>
    </w:p>
    <w:p>
      <w:pPr>
        <w:spacing w:line="400" w:lineRule="exact"/>
        <w:ind w:firstLine="480" w:firstLineChars="200"/>
        <w:rPr>
          <w:sz w:val="24"/>
        </w:rPr>
      </w:pPr>
      <w:r>
        <w:rPr>
          <w:sz w:val="24"/>
        </w:rPr>
        <w:t>24.2</w:t>
      </w:r>
      <w:r>
        <w:rPr>
          <w:rFonts w:hint="eastAsia"/>
          <w:sz w:val="24"/>
        </w:rPr>
        <w:t xml:space="preserve">  本条所述的“不可抗力”系指那些不能预见、不能避免并不能克服的客观情况，但不包括违约或疏忽。这些情况包括但不限于：战争、严重火灾、洪水、8级以上台风、5级以上地震以及政府相关部门发布的认为是不可抗力的事件。</w:t>
      </w:r>
    </w:p>
    <w:p>
      <w:pPr>
        <w:spacing w:line="400" w:lineRule="exact"/>
        <w:ind w:firstLine="480" w:firstLineChars="200"/>
        <w:rPr>
          <w:sz w:val="24"/>
        </w:rPr>
      </w:pPr>
      <w:r>
        <w:rPr>
          <w:sz w:val="24"/>
        </w:rPr>
        <w:t>24.3</w:t>
      </w:r>
      <w:r>
        <w:rPr>
          <w:rFonts w:hint="eastAsia"/>
          <w:sz w:val="24"/>
        </w:rPr>
        <w:t xml:space="preserve">  在不可抗力事件发生后，受不可抗力影响的一方应尽快以书面形式将不可抗力的情况和原因通知对方。除对方书面另行要求外，受不可抗力影响的一方应尽实际可能继续履行合同义务，并积极寻求采取合理的方案履行未受到不可抗力影响的其他合同事项。</w:t>
      </w:r>
    </w:p>
    <w:p>
      <w:pPr>
        <w:spacing w:line="400" w:lineRule="exact"/>
        <w:ind w:firstLine="480" w:firstLineChars="200"/>
        <w:rPr>
          <w:rFonts w:ascii="黑体" w:eastAsia="黑体"/>
          <w:sz w:val="24"/>
        </w:rPr>
      </w:pPr>
      <w:r>
        <w:rPr>
          <w:rFonts w:hint="eastAsia" w:ascii="黑体" w:eastAsia="黑体"/>
          <w:sz w:val="24"/>
        </w:rPr>
        <w:t>25  税费</w:t>
      </w:r>
    </w:p>
    <w:p>
      <w:pPr>
        <w:spacing w:line="400" w:lineRule="exact"/>
        <w:ind w:firstLine="480" w:firstLineChars="200"/>
        <w:rPr>
          <w:sz w:val="24"/>
        </w:rPr>
      </w:pPr>
      <w:r>
        <w:rPr>
          <w:sz w:val="24"/>
        </w:rPr>
        <w:t>25.1</w:t>
      </w:r>
      <w:r>
        <w:rPr>
          <w:rFonts w:hint="eastAsia"/>
          <w:sz w:val="24"/>
        </w:rPr>
        <w:t xml:space="preserve">  根据现行税法规定对买方征收的与本合同有关的一切税费均应由买方负担。</w:t>
      </w:r>
    </w:p>
    <w:p>
      <w:pPr>
        <w:spacing w:line="400" w:lineRule="exact"/>
        <w:ind w:firstLine="480" w:firstLineChars="200"/>
        <w:rPr>
          <w:sz w:val="24"/>
        </w:rPr>
      </w:pPr>
      <w:r>
        <w:rPr>
          <w:sz w:val="24"/>
        </w:rPr>
        <w:t>25.2</w:t>
      </w:r>
      <w:r>
        <w:rPr>
          <w:rFonts w:hint="eastAsia"/>
          <w:sz w:val="24"/>
        </w:rPr>
        <w:t xml:space="preserve">  根据现行税法规定对卖方征收的与本合同有关的一切税费均应由卖方负担。</w:t>
      </w:r>
    </w:p>
    <w:p>
      <w:pPr>
        <w:spacing w:line="400" w:lineRule="exact"/>
        <w:ind w:firstLine="480" w:firstLineChars="200"/>
        <w:rPr>
          <w:rFonts w:hint="eastAsia" w:ascii="黑体" w:eastAsia="黑体"/>
          <w:sz w:val="24"/>
        </w:rPr>
      </w:pPr>
      <w:r>
        <w:rPr>
          <w:rFonts w:hint="eastAsia" w:ascii="黑体" w:eastAsia="黑体"/>
          <w:sz w:val="24"/>
        </w:rPr>
        <w:t>26 履约保证金</w:t>
      </w:r>
    </w:p>
    <w:p>
      <w:pPr>
        <w:spacing w:line="400" w:lineRule="exact"/>
        <w:ind w:firstLine="480" w:firstLineChars="200"/>
        <w:rPr>
          <w:rFonts w:ascii="黑体" w:eastAsia="黑体"/>
          <w:sz w:val="24"/>
        </w:rPr>
      </w:pPr>
      <w:r>
        <w:rPr>
          <w:rFonts w:hint="eastAsia"/>
          <w:sz w:val="24"/>
        </w:rPr>
        <w:t>合同</w:t>
      </w:r>
      <w:r>
        <w:rPr>
          <w:rFonts w:hint="eastAsia"/>
          <w:sz w:val="24"/>
          <w:lang w:val="en-US" w:eastAsia="zh-CN"/>
        </w:rPr>
        <w:t>签订合同前，卖方缴纳合同价10%的履约保证金至买方账户。</w:t>
      </w:r>
      <w:r>
        <w:rPr>
          <w:rFonts w:hint="eastAsia"/>
          <w:sz w:val="24"/>
        </w:rPr>
        <w:t>货物全部送到买方指定的地点安装并调试，经买方验收合格，全额开具增值税专用发票后，20日内支付合同总额的97%，</w:t>
      </w:r>
      <w:r>
        <w:rPr>
          <w:rFonts w:hint="eastAsia"/>
          <w:sz w:val="24"/>
          <w:lang w:val="en-US" w:eastAsia="zh-CN"/>
        </w:rPr>
        <w:t>同时退还履约保证金（无息）</w:t>
      </w:r>
      <w:r>
        <w:rPr>
          <w:rFonts w:hint="eastAsia"/>
          <w:sz w:val="24"/>
        </w:rPr>
        <w:t>。</w:t>
      </w:r>
    </w:p>
    <w:p>
      <w:pPr>
        <w:spacing w:line="400" w:lineRule="exact"/>
        <w:ind w:firstLine="480" w:firstLineChars="200"/>
        <w:rPr>
          <w:rFonts w:ascii="黑体" w:eastAsia="黑体"/>
          <w:sz w:val="24"/>
        </w:rPr>
      </w:pPr>
      <w:r>
        <w:rPr>
          <w:rFonts w:hint="eastAsia" w:ascii="黑体" w:eastAsia="黑体"/>
          <w:sz w:val="24"/>
        </w:rPr>
        <w:t>27  合同争议的解决方式</w:t>
      </w:r>
    </w:p>
    <w:p>
      <w:pPr>
        <w:spacing w:line="400" w:lineRule="exact"/>
        <w:ind w:firstLine="480" w:firstLineChars="200"/>
        <w:rPr>
          <w:sz w:val="24"/>
        </w:rPr>
      </w:pPr>
      <w:r>
        <w:rPr>
          <w:rFonts w:hint="eastAsia"/>
          <w:sz w:val="24"/>
        </w:rPr>
        <w:t>合同在履行过程中如果发生争议，先由双方协商解决，协商不成时，任何一方均可向本工程所在地即买方所在地有管辖权的人民法院起诉。</w:t>
      </w:r>
    </w:p>
    <w:p>
      <w:pPr>
        <w:spacing w:line="400" w:lineRule="exact"/>
        <w:ind w:firstLine="480" w:firstLineChars="200"/>
        <w:rPr>
          <w:rFonts w:ascii="黑体" w:eastAsia="黑体"/>
          <w:sz w:val="24"/>
        </w:rPr>
      </w:pPr>
      <w:r>
        <w:rPr>
          <w:rFonts w:hint="eastAsia" w:ascii="黑体" w:eastAsia="黑体"/>
          <w:sz w:val="24"/>
        </w:rPr>
        <w:t>28 违约终止合同</w:t>
      </w:r>
    </w:p>
    <w:p>
      <w:pPr>
        <w:spacing w:line="400" w:lineRule="exact"/>
        <w:ind w:firstLine="480" w:firstLineChars="200"/>
        <w:rPr>
          <w:sz w:val="24"/>
        </w:rPr>
      </w:pPr>
      <w:r>
        <w:rPr>
          <w:sz w:val="24"/>
        </w:rPr>
        <w:t>28.1</w:t>
      </w:r>
      <w:r>
        <w:rPr>
          <w:rFonts w:hint="eastAsia"/>
          <w:sz w:val="24"/>
        </w:rPr>
        <w:t xml:space="preserve">  在买方对卖方违约而采取的任何补救措施不受影响的情况下，买方可在下列情况下向卖方发出书面通知书，提出终止部分或全部合同：</w:t>
      </w:r>
    </w:p>
    <w:p>
      <w:pPr>
        <w:spacing w:line="400" w:lineRule="exact"/>
        <w:ind w:firstLine="480" w:firstLineChars="200"/>
        <w:rPr>
          <w:sz w:val="24"/>
        </w:rPr>
      </w:pPr>
      <w:r>
        <w:rPr>
          <w:sz w:val="24"/>
        </w:rPr>
        <w:t>28.1.1</w:t>
      </w:r>
      <w:r>
        <w:rPr>
          <w:rFonts w:hint="eastAsia"/>
          <w:sz w:val="24"/>
        </w:rPr>
        <w:t xml:space="preserve">  卖方未能在合同规定的限期或买方同意延长的限期内提供部分或全部货物；</w:t>
      </w:r>
    </w:p>
    <w:p>
      <w:pPr>
        <w:spacing w:line="400" w:lineRule="exact"/>
        <w:ind w:firstLine="480" w:firstLineChars="200"/>
        <w:rPr>
          <w:sz w:val="24"/>
        </w:rPr>
      </w:pPr>
      <w:r>
        <w:rPr>
          <w:sz w:val="24"/>
        </w:rPr>
        <w:t>28.1.2</w:t>
      </w:r>
      <w:r>
        <w:rPr>
          <w:rFonts w:hint="eastAsia"/>
          <w:sz w:val="24"/>
        </w:rPr>
        <w:t xml:space="preserve">  卖方未能履行合同规定的其他任何义务。</w:t>
      </w:r>
    </w:p>
    <w:p>
      <w:pPr>
        <w:spacing w:line="400" w:lineRule="exact"/>
        <w:ind w:firstLine="480" w:firstLineChars="200"/>
        <w:rPr>
          <w:sz w:val="24"/>
        </w:rPr>
      </w:pPr>
      <w:r>
        <w:rPr>
          <w:sz w:val="24"/>
        </w:rPr>
        <w:t>28.2</w:t>
      </w:r>
      <w:r>
        <w:rPr>
          <w:rFonts w:hint="eastAsia"/>
          <w:sz w:val="24"/>
        </w:rPr>
        <w:t xml:space="preserve">  如果买方根据上述第</w:t>
      </w:r>
      <w:r>
        <w:rPr>
          <w:sz w:val="24"/>
        </w:rPr>
        <w:t xml:space="preserve">28.1 </w:t>
      </w:r>
      <w:r>
        <w:rPr>
          <w:rFonts w:hint="eastAsia"/>
          <w:sz w:val="24"/>
        </w:rPr>
        <w:t>条的规定，终止了部分或全部合同，买方可以依其认为适当的条件和方法购买与未交货物相类似的货物，卖方应对购买类似货物所超出的那部分费用负责。同时，卖方仍应继续执行合同中未终止的部分。</w:t>
      </w:r>
    </w:p>
    <w:p>
      <w:pPr>
        <w:spacing w:line="400" w:lineRule="exact"/>
        <w:ind w:firstLine="480" w:firstLineChars="200"/>
        <w:rPr>
          <w:rFonts w:ascii="黑体" w:eastAsia="黑体"/>
          <w:sz w:val="24"/>
        </w:rPr>
      </w:pPr>
      <w:r>
        <w:rPr>
          <w:rFonts w:hint="eastAsia" w:ascii="黑体" w:eastAsia="黑体"/>
          <w:sz w:val="24"/>
        </w:rPr>
        <w:t>29  破产终止合同</w:t>
      </w:r>
    </w:p>
    <w:p>
      <w:pPr>
        <w:spacing w:line="400" w:lineRule="exact"/>
        <w:ind w:firstLine="480" w:firstLineChars="200"/>
        <w:rPr>
          <w:sz w:val="24"/>
        </w:rPr>
      </w:pPr>
      <w:r>
        <w:rPr>
          <w:rFonts w:hint="eastAsia"/>
          <w:sz w:val="24"/>
        </w:rPr>
        <w:t>如果卖方破产或丧失清偿能力，买方可在任何时候以书面形式通知卖方终止合同而不给卖方补偿。该终止合同的行为将不损害或影响买方在本合同项下已经或将要采取的任何其他行动或补救措施的权力。</w:t>
      </w:r>
    </w:p>
    <w:p>
      <w:pPr>
        <w:spacing w:line="400" w:lineRule="exact"/>
        <w:ind w:firstLine="480" w:firstLineChars="200"/>
        <w:rPr>
          <w:rFonts w:ascii="黑体" w:eastAsia="黑体"/>
          <w:sz w:val="24"/>
        </w:rPr>
      </w:pPr>
      <w:r>
        <w:rPr>
          <w:rFonts w:hint="eastAsia" w:ascii="黑体" w:eastAsia="黑体"/>
          <w:sz w:val="24"/>
        </w:rPr>
        <w:t>30  便利终止合同</w:t>
      </w:r>
    </w:p>
    <w:p>
      <w:pPr>
        <w:spacing w:line="400" w:lineRule="exact"/>
        <w:ind w:firstLine="480" w:firstLineChars="200"/>
        <w:rPr>
          <w:sz w:val="24"/>
        </w:rPr>
      </w:pPr>
      <w:r>
        <w:rPr>
          <w:sz w:val="24"/>
        </w:rPr>
        <w:t>30.1</w:t>
      </w:r>
      <w:r>
        <w:rPr>
          <w:rFonts w:hint="eastAsia"/>
          <w:sz w:val="24"/>
        </w:rPr>
        <w:t xml:space="preserve">  买方可在任何时候出于自身的便利向卖方发出部分或全部终止合同的书面通知，该书面通知应明确终止合同是出于买方的便利，终止合同的书面通知到达卖方时生效。</w:t>
      </w:r>
    </w:p>
    <w:p>
      <w:pPr>
        <w:spacing w:line="400" w:lineRule="exact"/>
        <w:ind w:firstLine="480" w:firstLineChars="200"/>
        <w:rPr>
          <w:sz w:val="24"/>
        </w:rPr>
      </w:pPr>
      <w:r>
        <w:rPr>
          <w:sz w:val="24"/>
        </w:rPr>
        <w:t>30.2</w:t>
      </w:r>
      <w:r>
        <w:rPr>
          <w:rFonts w:hint="eastAsia"/>
          <w:sz w:val="24"/>
        </w:rPr>
        <w:t xml:space="preserve">  对卖方在收到终止合同通知后28天内可完成并准备装运的货物，买方应按原合同价格的条款予以接收。对于剩下的货物，买方可按下列方法处置：</w:t>
      </w:r>
    </w:p>
    <w:p>
      <w:pPr>
        <w:spacing w:line="400" w:lineRule="exact"/>
        <w:ind w:firstLine="480" w:firstLineChars="200"/>
        <w:rPr>
          <w:sz w:val="24"/>
        </w:rPr>
      </w:pPr>
      <w:r>
        <w:rPr>
          <w:sz w:val="24"/>
        </w:rPr>
        <w:t>30.2.1</w:t>
      </w:r>
      <w:r>
        <w:rPr>
          <w:rFonts w:hint="eastAsia"/>
          <w:sz w:val="24"/>
        </w:rPr>
        <w:t xml:space="preserve">  让任一部分按照原来的合同价格和条款完成装运和交货；</w:t>
      </w:r>
    </w:p>
    <w:p>
      <w:pPr>
        <w:spacing w:line="400" w:lineRule="exact"/>
        <w:ind w:firstLine="480" w:firstLineChars="200"/>
        <w:rPr>
          <w:sz w:val="24"/>
        </w:rPr>
      </w:pPr>
      <w:r>
        <w:rPr>
          <w:sz w:val="24"/>
        </w:rPr>
        <w:t>30.2.2</w:t>
      </w:r>
      <w:r>
        <w:rPr>
          <w:rFonts w:hint="eastAsia"/>
          <w:sz w:val="24"/>
        </w:rPr>
        <w:t xml:space="preserve">  取消该剩下货物的装运和交货，并按双方商定的金额向卖方支付部分已完成货物的制造和服务费用以及卖方此前为制造所订货物而已采购的材料和部件的费用。</w:t>
      </w:r>
    </w:p>
    <w:p>
      <w:pPr>
        <w:spacing w:line="400" w:lineRule="exact"/>
        <w:ind w:firstLine="480" w:firstLineChars="200"/>
        <w:rPr>
          <w:rFonts w:ascii="黑体" w:eastAsia="黑体"/>
          <w:sz w:val="24"/>
        </w:rPr>
      </w:pPr>
      <w:r>
        <w:rPr>
          <w:rFonts w:hint="eastAsia" w:ascii="黑体" w:eastAsia="黑体"/>
          <w:sz w:val="24"/>
        </w:rPr>
        <w:t>31  转让和分包</w:t>
      </w:r>
    </w:p>
    <w:p>
      <w:pPr>
        <w:spacing w:line="400" w:lineRule="exact"/>
        <w:ind w:firstLine="480" w:firstLineChars="200"/>
        <w:rPr>
          <w:sz w:val="24"/>
        </w:rPr>
      </w:pPr>
      <w:r>
        <w:rPr>
          <w:sz w:val="24"/>
        </w:rPr>
        <w:t>31.1</w:t>
      </w:r>
      <w:r>
        <w:rPr>
          <w:rFonts w:hint="eastAsia"/>
          <w:sz w:val="24"/>
        </w:rPr>
        <w:t xml:space="preserve">  除买方事先书面同意外，卖方不得部分或全部转让其应履行的合同义务。</w:t>
      </w:r>
    </w:p>
    <w:p>
      <w:pPr>
        <w:spacing w:line="400" w:lineRule="exact"/>
        <w:ind w:firstLine="480" w:firstLineChars="200"/>
        <w:rPr>
          <w:sz w:val="24"/>
        </w:rPr>
      </w:pPr>
      <w:r>
        <w:rPr>
          <w:sz w:val="24"/>
        </w:rPr>
        <w:t xml:space="preserve">31.2 </w:t>
      </w:r>
      <w:r>
        <w:rPr>
          <w:rFonts w:hint="eastAsia"/>
          <w:sz w:val="24"/>
        </w:rPr>
        <w:t xml:space="preserve"> 如投标文件中没有明确分包合同，在本合同签约前，卖方应书面通知买方其在本合同中所分包的全部分包合同，无论是原投标文件中的还是后续通知的分包合同均不能解除卖方履行本合同的责任和义务。</w:t>
      </w:r>
    </w:p>
    <w:p>
      <w:pPr>
        <w:spacing w:line="400" w:lineRule="exact"/>
        <w:ind w:firstLine="480" w:firstLineChars="200"/>
        <w:rPr>
          <w:rFonts w:ascii="黑体" w:eastAsia="黑体"/>
          <w:sz w:val="24"/>
        </w:rPr>
      </w:pPr>
      <w:r>
        <w:rPr>
          <w:rFonts w:hint="eastAsia" w:ascii="黑体" w:eastAsia="黑体"/>
          <w:sz w:val="24"/>
        </w:rPr>
        <w:t>32  合同文件和资料的使用</w:t>
      </w:r>
    </w:p>
    <w:p>
      <w:pPr>
        <w:spacing w:line="400" w:lineRule="exact"/>
        <w:ind w:firstLine="480" w:firstLineChars="200"/>
        <w:rPr>
          <w:sz w:val="24"/>
        </w:rPr>
      </w:pPr>
      <w:r>
        <w:rPr>
          <w:sz w:val="24"/>
        </w:rPr>
        <w:t xml:space="preserve">32.1 </w:t>
      </w:r>
      <w:r>
        <w:rPr>
          <w:rFonts w:hint="eastAsia"/>
          <w:sz w:val="24"/>
        </w:rPr>
        <w:t xml:space="preserve"> 未经买方事先书面同意，卖方不得将由买方提供的有关合同、合同条文、规格、计划、图样、模型、样品或资料提供给与履行本合同无关的任何其他人。即使向本合同的雇员提供，也应注意保密并限于履行本合同所必需的范围。</w:t>
      </w:r>
    </w:p>
    <w:p>
      <w:pPr>
        <w:spacing w:line="400" w:lineRule="exact"/>
        <w:ind w:firstLine="480" w:firstLineChars="200"/>
        <w:rPr>
          <w:sz w:val="24"/>
        </w:rPr>
      </w:pPr>
      <w:r>
        <w:rPr>
          <w:sz w:val="24"/>
        </w:rPr>
        <w:t>32.2</w:t>
      </w:r>
      <w:r>
        <w:rPr>
          <w:rFonts w:hint="eastAsia"/>
          <w:sz w:val="24"/>
        </w:rPr>
        <w:t xml:space="preserve">  未经买方事先书面同意，除履行本合同之外，卖方不应使用“合同条款”第</w:t>
      </w:r>
      <w:r>
        <w:rPr>
          <w:sz w:val="24"/>
        </w:rPr>
        <w:t>32.1</w:t>
      </w:r>
      <w:r>
        <w:rPr>
          <w:rFonts w:hint="eastAsia"/>
          <w:sz w:val="24"/>
        </w:rPr>
        <w:t>条所列举的任何文件和资料。</w:t>
      </w:r>
    </w:p>
    <w:p>
      <w:pPr>
        <w:spacing w:line="400" w:lineRule="exact"/>
        <w:ind w:firstLine="480" w:firstLineChars="200"/>
        <w:rPr>
          <w:sz w:val="24"/>
        </w:rPr>
      </w:pPr>
      <w:r>
        <w:rPr>
          <w:sz w:val="24"/>
        </w:rPr>
        <w:t>32.3</w:t>
      </w:r>
      <w:r>
        <w:rPr>
          <w:rFonts w:hint="eastAsia"/>
          <w:sz w:val="24"/>
        </w:rPr>
        <w:t xml:space="preserve">  除合同本身外，“合同条款”第</w:t>
      </w:r>
      <w:r>
        <w:rPr>
          <w:sz w:val="24"/>
        </w:rPr>
        <w:t>32.1</w:t>
      </w:r>
      <w:r>
        <w:rPr>
          <w:rFonts w:hint="eastAsia"/>
          <w:sz w:val="24"/>
        </w:rPr>
        <w:t>条所列举的任何文件和资料是买方的财产。如果买方有要求，卖方应在完成合同后将这些文件和资料</w:t>
      </w:r>
      <w:r>
        <w:rPr>
          <w:sz w:val="24"/>
        </w:rPr>
        <w:t>(</w:t>
      </w:r>
      <w:r>
        <w:rPr>
          <w:rFonts w:hint="eastAsia"/>
          <w:sz w:val="24"/>
        </w:rPr>
        <w:t>包括全部副本</w:t>
      </w:r>
      <w:r>
        <w:rPr>
          <w:sz w:val="24"/>
        </w:rPr>
        <w:t>)</w:t>
      </w:r>
      <w:r>
        <w:rPr>
          <w:rFonts w:hint="eastAsia"/>
          <w:sz w:val="24"/>
        </w:rPr>
        <w:t>还给买方。</w:t>
      </w:r>
    </w:p>
    <w:p>
      <w:pPr>
        <w:spacing w:line="400" w:lineRule="exact"/>
        <w:ind w:firstLine="480" w:firstLineChars="200"/>
        <w:rPr>
          <w:rFonts w:ascii="黑体" w:eastAsia="黑体"/>
          <w:sz w:val="24"/>
        </w:rPr>
      </w:pPr>
      <w:r>
        <w:rPr>
          <w:rFonts w:hint="eastAsia" w:ascii="黑体" w:eastAsia="黑体"/>
          <w:sz w:val="24"/>
        </w:rPr>
        <w:t>33  合同生效</w:t>
      </w:r>
    </w:p>
    <w:p>
      <w:pPr>
        <w:spacing w:line="400" w:lineRule="exact"/>
        <w:ind w:firstLine="480" w:firstLineChars="200"/>
        <w:rPr>
          <w:sz w:val="24"/>
        </w:rPr>
      </w:pPr>
      <w:r>
        <w:rPr>
          <w:rFonts w:hint="eastAsia"/>
          <w:sz w:val="24"/>
        </w:rPr>
        <w:t>本合同在满足下列所有条件时即生效：</w:t>
      </w:r>
    </w:p>
    <w:p>
      <w:pPr>
        <w:spacing w:line="400" w:lineRule="exact"/>
        <w:ind w:firstLine="480" w:firstLineChars="200"/>
        <w:rPr>
          <w:sz w:val="24"/>
        </w:rPr>
      </w:pPr>
      <w:r>
        <w:rPr>
          <w:sz w:val="24"/>
        </w:rPr>
        <w:t>33.1</w:t>
      </w:r>
      <w:r>
        <w:rPr>
          <w:rFonts w:hint="eastAsia"/>
          <w:sz w:val="24"/>
        </w:rPr>
        <w:t xml:space="preserve">  合同已由双方的法定代表人或其授权代表签署并加盖了单位印章；</w:t>
      </w:r>
    </w:p>
    <w:p>
      <w:pPr>
        <w:spacing w:line="400" w:lineRule="exact"/>
        <w:ind w:firstLine="480" w:firstLineChars="200"/>
        <w:rPr>
          <w:sz w:val="24"/>
        </w:rPr>
      </w:pPr>
      <w:r>
        <w:rPr>
          <w:sz w:val="24"/>
        </w:rPr>
        <w:t xml:space="preserve">33.2 </w:t>
      </w:r>
      <w:r>
        <w:rPr>
          <w:rFonts w:hint="eastAsia"/>
          <w:sz w:val="24"/>
        </w:rPr>
        <w:t xml:space="preserve"> 卖方已按规定递交了履约保证金。</w:t>
      </w:r>
    </w:p>
    <w:p>
      <w:pPr>
        <w:spacing w:line="400" w:lineRule="exact"/>
        <w:ind w:firstLine="480" w:firstLineChars="200"/>
        <w:rPr>
          <w:rFonts w:ascii="黑体" w:eastAsia="黑体"/>
          <w:sz w:val="24"/>
        </w:rPr>
      </w:pPr>
      <w:r>
        <w:rPr>
          <w:rFonts w:ascii="黑体" w:eastAsia="黑体"/>
          <w:sz w:val="24"/>
        </w:rPr>
        <w:t>34</w:t>
      </w:r>
      <w:r>
        <w:rPr>
          <w:rFonts w:hint="eastAsia" w:ascii="黑体" w:eastAsia="黑体"/>
          <w:sz w:val="24"/>
        </w:rPr>
        <w:t xml:space="preserve">  其他</w:t>
      </w:r>
    </w:p>
    <w:p>
      <w:pPr>
        <w:spacing w:line="400" w:lineRule="exact"/>
        <w:ind w:firstLine="480" w:firstLineChars="200"/>
        <w:rPr>
          <w:sz w:val="24"/>
        </w:rPr>
      </w:pPr>
      <w:r>
        <w:rPr>
          <w:rFonts w:hint="eastAsia"/>
          <w:sz w:val="24"/>
        </w:rPr>
        <w:t>34.1  卖方应履行投标文件中明确的项目技术服务和售后维修人员的承诺提供安装调试和维修服务，卖方的售后服务响应时间为：在免费质保期内，卖方在接到用户单位报修通知后，须在4小时之内响应，并在24小时内到达现场。如需更换设备或返厂维修，须在24小时内提供备用设备，保证系统正常运行。更换或返厂维修的设备须在7日内处理完毕、送至现场，并恢复系统功能。</w:t>
      </w:r>
    </w:p>
    <w:p>
      <w:pPr>
        <w:spacing w:line="400" w:lineRule="exact"/>
        <w:ind w:firstLine="480" w:firstLineChars="200"/>
        <w:rPr>
          <w:sz w:val="24"/>
        </w:rPr>
      </w:pPr>
      <w:r>
        <w:rPr>
          <w:rFonts w:hint="eastAsia"/>
          <w:sz w:val="24"/>
        </w:rPr>
        <w:t>34.2  卖方应按投标文件的承诺向买方提供人员培训服务。</w:t>
      </w:r>
    </w:p>
    <w:p>
      <w:pPr>
        <w:spacing w:line="400" w:lineRule="exact"/>
        <w:ind w:firstLine="480" w:firstLineChars="200"/>
        <w:rPr>
          <w:sz w:val="24"/>
        </w:rPr>
      </w:pPr>
      <w:r>
        <w:rPr>
          <w:rFonts w:hint="eastAsia"/>
          <w:sz w:val="24"/>
        </w:rPr>
        <w:t>34.3  本合同条款，中标通知书，投标过程中的澄清、补漏记录，招标文件，投标文件，相关国家标准、规范均为合同文件的组成部分，且按上列顺序进行解释。</w:t>
      </w:r>
    </w:p>
    <w:p>
      <w:pPr>
        <w:spacing w:line="400" w:lineRule="exact"/>
        <w:ind w:firstLine="480" w:firstLineChars="200"/>
        <w:rPr>
          <w:sz w:val="24"/>
        </w:rPr>
      </w:pPr>
      <w:r>
        <w:rPr>
          <w:rFonts w:hint="eastAsia"/>
          <w:sz w:val="24"/>
        </w:rPr>
        <w:t>34.4  本合同一式肆份，</w:t>
      </w:r>
      <w:r>
        <w:rPr>
          <w:rFonts w:hint="eastAsia"/>
          <w:sz w:val="24"/>
          <w:lang w:val="en-US" w:eastAsia="zh-CN"/>
        </w:rPr>
        <w:t>双方各</w:t>
      </w:r>
      <w:r>
        <w:rPr>
          <w:rFonts w:hint="eastAsia"/>
          <w:sz w:val="24"/>
        </w:rPr>
        <w:t xml:space="preserve">执贰份。 </w:t>
      </w:r>
    </w:p>
    <w:p>
      <w:pPr>
        <w:spacing w:line="400" w:lineRule="exact"/>
        <w:ind w:left="630"/>
        <w:jc w:val="center"/>
        <w:rPr>
          <w:b/>
          <w:sz w:val="24"/>
        </w:rPr>
      </w:pPr>
    </w:p>
    <w:p>
      <w:pPr>
        <w:spacing w:line="400" w:lineRule="exact"/>
        <w:ind w:left="629"/>
        <w:rPr>
          <w:rFonts w:hint="eastAsia"/>
          <w:sz w:val="24"/>
        </w:rPr>
      </w:pPr>
    </w:p>
    <w:p>
      <w:pPr>
        <w:spacing w:line="400" w:lineRule="exact"/>
        <w:ind w:left="629"/>
        <w:rPr>
          <w:rFonts w:hint="eastAsia"/>
          <w:sz w:val="24"/>
        </w:rPr>
      </w:pPr>
    </w:p>
    <w:tbl>
      <w:tblPr>
        <w:tblStyle w:val="20"/>
        <w:tblW w:w="10378" w:type="dxa"/>
        <w:jc w:val="center"/>
        <w:tblLayout w:type="fixed"/>
        <w:tblCellMar>
          <w:top w:w="0" w:type="dxa"/>
          <w:left w:w="108" w:type="dxa"/>
          <w:bottom w:w="0" w:type="dxa"/>
          <w:right w:w="108" w:type="dxa"/>
        </w:tblCellMar>
      </w:tblPr>
      <w:tblGrid>
        <w:gridCol w:w="1061"/>
        <w:gridCol w:w="3660"/>
        <w:gridCol w:w="318"/>
        <w:gridCol w:w="1167"/>
        <w:gridCol w:w="4172"/>
      </w:tblGrid>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甲  方:</w:t>
            </w:r>
          </w:p>
        </w:tc>
        <w:tc>
          <w:tcPr>
            <w:tcW w:w="3660" w:type="dxa"/>
            <w:noWrap w:val="0"/>
            <w:vAlign w:val="top"/>
          </w:tcPr>
          <w:p>
            <w:pPr>
              <w:ind w:left="-27" w:leftChars="-13"/>
              <w:jc w:val="both"/>
              <w:rPr>
                <w:rFonts w:hint="eastAsia" w:ascii="宋体" w:hAnsi="宋体" w:cs="宋体"/>
                <w:sz w:val="24"/>
              </w:rPr>
            </w:pPr>
            <w:r>
              <w:rPr>
                <w:rFonts w:hint="eastAsia" w:ascii="宋体" w:hAnsi="宋体" w:cs="宋体"/>
                <w:sz w:val="24"/>
              </w:rPr>
              <w:t>南通市通州区水务有限公司</w:t>
            </w: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left="-1" w:right="-288" w:hanging="1"/>
              <w:jc w:val="both"/>
              <w:rPr>
                <w:rFonts w:hint="eastAsia" w:ascii="宋体" w:hAnsi="宋体" w:cs="宋体"/>
                <w:sz w:val="24"/>
              </w:rPr>
            </w:pPr>
            <w:r>
              <w:rPr>
                <w:rFonts w:hint="eastAsia" w:ascii="宋体" w:hAnsi="宋体" w:cs="宋体"/>
                <w:sz w:val="24"/>
              </w:rPr>
              <w:t>乙  方：</w:t>
            </w:r>
          </w:p>
        </w:tc>
        <w:tc>
          <w:tcPr>
            <w:tcW w:w="4172" w:type="dxa"/>
            <w:noWrap w:val="0"/>
            <w:vAlign w:val="top"/>
          </w:tcPr>
          <w:p>
            <w:pPr>
              <w:spacing w:line="360" w:lineRule="auto"/>
              <w:ind w:left="-181" w:leftChars="-86" w:firstLine="192" w:firstLineChars="80"/>
              <w:jc w:val="both"/>
              <w:rPr>
                <w:rFonts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 xml:space="preserve">地  址：                       </w:t>
            </w:r>
          </w:p>
        </w:tc>
        <w:tc>
          <w:tcPr>
            <w:tcW w:w="3660" w:type="dxa"/>
            <w:noWrap w:val="0"/>
            <w:vAlign w:val="top"/>
          </w:tcPr>
          <w:p>
            <w:pPr>
              <w:spacing w:line="360" w:lineRule="auto"/>
              <w:ind w:right="-108"/>
              <w:jc w:val="both"/>
              <w:rPr>
                <w:rFonts w:hint="eastAsia" w:ascii="宋体" w:hAnsi="宋体" w:cs="宋体"/>
                <w:sz w:val="24"/>
              </w:rPr>
            </w:pPr>
            <w:r>
              <w:rPr>
                <w:rFonts w:hint="eastAsia" w:ascii="宋体" w:hAnsi="宋体" w:cs="宋体"/>
                <w:sz w:val="24"/>
              </w:rPr>
              <w:t>通州区金沙镇金通路银河路口</w:t>
            </w:r>
          </w:p>
        </w:tc>
        <w:tc>
          <w:tcPr>
            <w:tcW w:w="318" w:type="dxa"/>
            <w:noWrap w:val="0"/>
            <w:vAlign w:val="top"/>
          </w:tcPr>
          <w:p>
            <w:pPr>
              <w:jc w:val="both"/>
              <w:rPr>
                <w:rFonts w:hint="eastAsia" w:ascii="宋体" w:hAnsi="宋体" w:cs="宋体"/>
                <w:sz w:val="24"/>
              </w:rPr>
            </w:pPr>
          </w:p>
        </w:tc>
        <w:tc>
          <w:tcPr>
            <w:tcW w:w="1167" w:type="dxa"/>
            <w:noWrap w:val="0"/>
            <w:vAlign w:val="top"/>
          </w:tcPr>
          <w:p>
            <w:pPr>
              <w:ind w:right="-288"/>
              <w:jc w:val="both"/>
              <w:rPr>
                <w:rFonts w:hint="eastAsia" w:ascii="宋体" w:hAnsi="宋体" w:cs="宋体"/>
                <w:sz w:val="24"/>
              </w:rPr>
            </w:pPr>
            <w:r>
              <w:rPr>
                <w:rFonts w:hint="eastAsia" w:ascii="宋体" w:hAnsi="宋体" w:cs="宋体"/>
                <w:sz w:val="24"/>
              </w:rPr>
              <w:t>地  址：</w:t>
            </w:r>
          </w:p>
        </w:tc>
        <w:tc>
          <w:tcPr>
            <w:tcW w:w="4172" w:type="dxa"/>
            <w:noWrap w:val="0"/>
            <w:vAlign w:val="top"/>
          </w:tcPr>
          <w:p>
            <w:pPr>
              <w:ind w:right="-288"/>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代表人：</w:t>
            </w:r>
          </w:p>
        </w:tc>
        <w:tc>
          <w:tcPr>
            <w:tcW w:w="3660" w:type="dxa"/>
            <w:noWrap w:val="0"/>
            <w:vAlign w:val="top"/>
          </w:tcPr>
          <w:p>
            <w:pPr>
              <w:ind w:right="-288"/>
              <w:jc w:val="both"/>
              <w:rPr>
                <w:rFonts w:hint="eastAsia" w:ascii="宋体" w:hAnsi="宋体" w:cs="宋体"/>
                <w:sz w:val="24"/>
              </w:rPr>
            </w:pP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代表人：</w:t>
            </w:r>
          </w:p>
        </w:tc>
        <w:tc>
          <w:tcPr>
            <w:tcW w:w="4172" w:type="dxa"/>
            <w:noWrap w:val="0"/>
            <w:vAlign w:val="top"/>
          </w:tcPr>
          <w:p>
            <w:pPr>
              <w:spacing w:line="360" w:lineRule="auto"/>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电  话：</w:t>
            </w:r>
          </w:p>
        </w:tc>
        <w:tc>
          <w:tcPr>
            <w:tcW w:w="3660" w:type="dxa"/>
            <w:noWrap w:val="0"/>
            <w:vAlign w:val="top"/>
          </w:tcPr>
          <w:p>
            <w:pPr>
              <w:spacing w:line="360" w:lineRule="auto"/>
              <w:ind w:right="-288"/>
              <w:jc w:val="both"/>
              <w:rPr>
                <w:rFonts w:hint="eastAsia" w:ascii="宋体" w:hAnsi="宋体" w:cs="宋体"/>
                <w:sz w:val="24"/>
              </w:rPr>
            </w:pPr>
            <w:r>
              <w:rPr>
                <w:rFonts w:ascii="宋体" w:hAnsi="宋体" w:cs="宋体"/>
                <w:sz w:val="24"/>
              </w:rPr>
              <w:t>051</w:t>
            </w:r>
            <w:r>
              <w:rPr>
                <w:rFonts w:hint="eastAsia" w:ascii="宋体" w:hAnsi="宋体" w:cs="宋体"/>
                <w:sz w:val="24"/>
              </w:rPr>
              <w:t>3-86548930</w:t>
            </w: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电  话：</w:t>
            </w:r>
          </w:p>
        </w:tc>
        <w:tc>
          <w:tcPr>
            <w:tcW w:w="4172" w:type="dxa"/>
            <w:noWrap w:val="0"/>
            <w:vAlign w:val="top"/>
          </w:tcPr>
          <w:p>
            <w:pPr>
              <w:spacing w:line="360" w:lineRule="auto"/>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传  真：</w:t>
            </w:r>
          </w:p>
        </w:tc>
        <w:tc>
          <w:tcPr>
            <w:tcW w:w="3660" w:type="dxa"/>
            <w:noWrap w:val="0"/>
            <w:vAlign w:val="top"/>
          </w:tcPr>
          <w:p>
            <w:pPr>
              <w:spacing w:line="360" w:lineRule="auto"/>
              <w:ind w:right="-108"/>
              <w:jc w:val="both"/>
              <w:rPr>
                <w:rFonts w:hint="eastAsia" w:ascii="宋体" w:hAnsi="宋体" w:cs="宋体"/>
                <w:sz w:val="24"/>
              </w:rPr>
            </w:pP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传  真：</w:t>
            </w:r>
          </w:p>
        </w:tc>
        <w:tc>
          <w:tcPr>
            <w:tcW w:w="4172" w:type="dxa"/>
            <w:noWrap w:val="0"/>
            <w:vAlign w:val="top"/>
          </w:tcPr>
          <w:p>
            <w:pPr>
              <w:spacing w:line="360" w:lineRule="auto"/>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开户行：</w:t>
            </w:r>
          </w:p>
        </w:tc>
        <w:tc>
          <w:tcPr>
            <w:tcW w:w="3660" w:type="dxa"/>
            <w:noWrap w:val="0"/>
            <w:vAlign w:val="top"/>
          </w:tcPr>
          <w:p>
            <w:pPr>
              <w:spacing w:line="360" w:lineRule="auto"/>
              <w:ind w:right="-108"/>
              <w:jc w:val="both"/>
              <w:rPr>
                <w:rFonts w:hint="eastAsia" w:ascii="宋体" w:hAnsi="宋体" w:cs="宋体"/>
                <w:sz w:val="24"/>
              </w:rPr>
            </w:pPr>
            <w:r>
              <w:rPr>
                <w:rFonts w:hint="eastAsia" w:ascii="宋体" w:hAnsi="宋体" w:cs="宋体"/>
                <w:sz w:val="24"/>
              </w:rPr>
              <w:t>建设银行南通分行通州支行</w:t>
            </w: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开户行：</w:t>
            </w:r>
          </w:p>
        </w:tc>
        <w:tc>
          <w:tcPr>
            <w:tcW w:w="4172" w:type="dxa"/>
            <w:noWrap w:val="0"/>
            <w:vAlign w:val="top"/>
          </w:tcPr>
          <w:p>
            <w:pPr>
              <w:spacing w:line="360" w:lineRule="auto"/>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帐  号：</w:t>
            </w:r>
          </w:p>
        </w:tc>
        <w:tc>
          <w:tcPr>
            <w:tcW w:w="3660"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32001647436050826314</w:t>
            </w:r>
          </w:p>
        </w:tc>
        <w:tc>
          <w:tcPr>
            <w:tcW w:w="318" w:type="dxa"/>
            <w:noWrap w:val="0"/>
            <w:vAlign w:val="top"/>
          </w:tcPr>
          <w:p>
            <w:pPr>
              <w:spacing w:line="360" w:lineRule="auto"/>
              <w:ind w:left="-107" w:leftChars="-51" w:firstLine="108" w:firstLineChars="45"/>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帐  号：</w:t>
            </w:r>
          </w:p>
        </w:tc>
        <w:tc>
          <w:tcPr>
            <w:tcW w:w="4172" w:type="dxa"/>
            <w:noWrap w:val="0"/>
            <w:vAlign w:val="top"/>
          </w:tcPr>
          <w:p>
            <w:pPr>
              <w:spacing w:line="360" w:lineRule="auto"/>
              <w:ind w:right="-288"/>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spacing w:line="240" w:lineRule="atLeast"/>
              <w:ind w:right="-288"/>
              <w:jc w:val="both"/>
              <w:rPr>
                <w:rFonts w:hint="eastAsia" w:ascii="宋体" w:hAnsi="宋体" w:cs="宋体"/>
                <w:sz w:val="24"/>
              </w:rPr>
            </w:pPr>
            <w:r>
              <w:rPr>
                <w:rFonts w:hint="eastAsia" w:ascii="宋体" w:hAnsi="宋体" w:cs="宋体"/>
                <w:sz w:val="24"/>
              </w:rPr>
              <w:t>税  号：</w:t>
            </w:r>
          </w:p>
        </w:tc>
        <w:tc>
          <w:tcPr>
            <w:tcW w:w="3660" w:type="dxa"/>
            <w:noWrap w:val="0"/>
            <w:vAlign w:val="top"/>
          </w:tcPr>
          <w:p>
            <w:pPr>
              <w:spacing w:line="240" w:lineRule="atLeast"/>
              <w:ind w:right="-288"/>
              <w:jc w:val="both"/>
              <w:rPr>
                <w:rFonts w:hint="eastAsia" w:ascii="宋体" w:hAnsi="宋体" w:cs="宋体"/>
                <w:sz w:val="24"/>
              </w:rPr>
            </w:pPr>
            <w:r>
              <w:rPr>
                <w:rFonts w:hint="eastAsia" w:ascii="宋体" w:hAnsi="宋体" w:cs="宋体"/>
                <w:sz w:val="24"/>
              </w:rPr>
              <w:t>913206121387378220</w:t>
            </w:r>
          </w:p>
        </w:tc>
        <w:tc>
          <w:tcPr>
            <w:tcW w:w="318" w:type="dxa"/>
            <w:noWrap w:val="0"/>
            <w:vAlign w:val="top"/>
          </w:tcPr>
          <w:p>
            <w:pPr>
              <w:spacing w:line="240" w:lineRule="atLeast"/>
              <w:ind w:right="-288"/>
              <w:jc w:val="both"/>
              <w:rPr>
                <w:rFonts w:hint="eastAsia" w:ascii="宋体" w:hAnsi="宋体" w:cs="宋体"/>
                <w:sz w:val="24"/>
              </w:rPr>
            </w:pPr>
          </w:p>
        </w:tc>
        <w:tc>
          <w:tcPr>
            <w:tcW w:w="1167" w:type="dxa"/>
            <w:noWrap w:val="0"/>
            <w:vAlign w:val="top"/>
          </w:tcPr>
          <w:p>
            <w:pPr>
              <w:spacing w:line="240" w:lineRule="atLeast"/>
              <w:ind w:right="-288"/>
              <w:jc w:val="both"/>
              <w:rPr>
                <w:rFonts w:hint="eastAsia" w:ascii="宋体" w:hAnsi="宋体" w:cs="宋体"/>
                <w:sz w:val="24"/>
              </w:rPr>
            </w:pPr>
            <w:r>
              <w:rPr>
                <w:rFonts w:hint="eastAsia" w:ascii="宋体" w:hAnsi="宋体" w:cs="宋体"/>
                <w:sz w:val="24"/>
              </w:rPr>
              <w:t>税  号：</w:t>
            </w:r>
          </w:p>
        </w:tc>
        <w:tc>
          <w:tcPr>
            <w:tcW w:w="4172" w:type="dxa"/>
            <w:noWrap w:val="0"/>
            <w:vAlign w:val="top"/>
          </w:tcPr>
          <w:p>
            <w:pPr>
              <w:spacing w:line="240" w:lineRule="atLeast"/>
              <w:ind w:right="-288"/>
              <w:jc w:val="both"/>
              <w:rPr>
                <w:rFonts w:hint="eastAsia" w:ascii="宋体" w:hAnsi="宋体" w:cs="宋体"/>
                <w:sz w:val="24"/>
              </w:rPr>
            </w:pPr>
          </w:p>
        </w:tc>
      </w:tr>
    </w:tbl>
    <w:p>
      <w:pPr>
        <w:spacing w:line="400" w:lineRule="exact"/>
        <w:ind w:left="629"/>
        <w:rPr>
          <w:sz w:val="24"/>
        </w:rPr>
      </w:pPr>
      <w:r>
        <w:rPr>
          <w:rFonts w:hint="eastAsia"/>
          <w:sz w:val="24"/>
        </w:rPr>
        <w:t xml:space="preserve">  </w:t>
      </w:r>
    </w:p>
    <w:p>
      <w:pPr>
        <w:spacing w:line="400" w:lineRule="exact"/>
        <w:ind w:left="629"/>
        <w:rPr>
          <w:sz w:val="24"/>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rFonts w:hint="eastAsia"/>
          <w:b/>
          <w:bCs/>
          <w:sz w:val="32"/>
        </w:rPr>
      </w:pPr>
    </w:p>
    <w:p>
      <w:pPr>
        <w:spacing w:line="480" w:lineRule="exact"/>
        <w:ind w:firstLine="3839" w:firstLineChars="1195"/>
        <w:rPr>
          <w:b/>
          <w:bCs/>
          <w:sz w:val="32"/>
        </w:rPr>
      </w:pPr>
      <w:r>
        <w:rPr>
          <w:rFonts w:hint="eastAsia"/>
          <w:b/>
          <w:bCs/>
          <w:sz w:val="32"/>
        </w:rPr>
        <w:t>廉政协议</w:t>
      </w:r>
    </w:p>
    <w:p>
      <w:pPr>
        <w:spacing w:line="480" w:lineRule="exact"/>
        <w:rPr>
          <w:b/>
          <w:bCs/>
          <w:sz w:val="32"/>
        </w:rPr>
      </w:pPr>
    </w:p>
    <w:p>
      <w:pPr>
        <w:spacing w:line="480" w:lineRule="exact"/>
        <w:rPr>
          <w:sz w:val="24"/>
          <w:u w:val="single"/>
        </w:rPr>
      </w:pPr>
      <w:r>
        <w:rPr>
          <w:rFonts w:hint="eastAsia"/>
          <w:sz w:val="24"/>
        </w:rPr>
        <w:t>协议单位：买方（简称买方）：南通市通州区水务有限公司</w:t>
      </w:r>
    </w:p>
    <w:p>
      <w:pPr>
        <w:spacing w:line="480" w:lineRule="exact"/>
        <w:ind w:firstLine="1200" w:firstLineChars="500"/>
        <w:rPr>
          <w:rFonts w:hint="default" w:eastAsia="宋体"/>
          <w:sz w:val="24"/>
          <w:u w:val="single"/>
          <w:lang w:val="en-US" w:eastAsia="zh-CN"/>
        </w:rPr>
      </w:pPr>
      <w:r>
        <w:rPr>
          <w:rFonts w:hint="eastAsia"/>
          <w:sz w:val="24"/>
        </w:rPr>
        <w:t>卖方（简称卖方）：</w:t>
      </w:r>
      <w:r>
        <w:rPr>
          <w:rFonts w:hint="eastAsia"/>
          <w:sz w:val="24"/>
          <w:u w:val="single"/>
          <w:lang w:val="en-US" w:eastAsia="zh-CN"/>
        </w:rPr>
        <w:t xml:space="preserve">                    </w:t>
      </w:r>
    </w:p>
    <w:p>
      <w:pPr>
        <w:spacing w:line="480" w:lineRule="exact"/>
        <w:ind w:firstLine="480" w:firstLineChars="200"/>
        <w:rPr>
          <w:sz w:val="24"/>
        </w:rPr>
      </w:pPr>
      <w:r>
        <w:rPr>
          <w:rFonts w:hint="eastAsia"/>
          <w:sz w:val="24"/>
        </w:rPr>
        <w:t xml:space="preserve">为加强工程建设中的廉政建设，规范工程建设项目各方的各项活动，共同维护建设市场的秩序，确保工程质量。经协议各方协商，现就 </w:t>
      </w:r>
      <w:r>
        <w:rPr>
          <w:rFonts w:hint="eastAsia"/>
          <w:sz w:val="24"/>
          <w:u w:val="single"/>
          <w:lang w:val="en-US" w:eastAsia="zh-CN"/>
        </w:rPr>
        <w:t>泵站补氯装置采购安装</w:t>
      </w:r>
      <w:r>
        <w:rPr>
          <w:rFonts w:hint="eastAsia"/>
          <w:sz w:val="24"/>
          <w:u w:val="single"/>
        </w:rPr>
        <w:t>项目</w:t>
      </w:r>
      <w:r>
        <w:rPr>
          <w:rFonts w:hint="eastAsia"/>
          <w:sz w:val="24"/>
        </w:rPr>
        <w:t>自愿签订廉政协议：</w:t>
      </w:r>
    </w:p>
    <w:p>
      <w:pPr>
        <w:spacing w:line="520" w:lineRule="exact"/>
        <w:ind w:firstLine="645"/>
        <w:rPr>
          <w:sz w:val="24"/>
        </w:rPr>
      </w:pPr>
      <w:r>
        <w:rPr>
          <w:rFonts w:hint="eastAsia"/>
          <w:sz w:val="24"/>
        </w:rPr>
        <w:t>一、协议各方应当自觉遵守国家、省、市关于建设工程材料采购工作规则以及有关廉政建设的各项规定。</w:t>
      </w:r>
    </w:p>
    <w:p>
      <w:pPr>
        <w:spacing w:line="520" w:lineRule="exact"/>
        <w:ind w:firstLine="645"/>
        <w:rPr>
          <w:sz w:val="24"/>
        </w:rPr>
      </w:pPr>
      <w:r>
        <w:rPr>
          <w:rFonts w:hint="eastAsia"/>
          <w:sz w:val="24"/>
        </w:rPr>
        <w:t>二、买方及其工作人员不得以任何形式向卖方索要和收受回扣等好处费。</w:t>
      </w:r>
    </w:p>
    <w:p>
      <w:pPr>
        <w:spacing w:line="520" w:lineRule="exact"/>
        <w:ind w:firstLine="645"/>
        <w:rPr>
          <w:sz w:val="24"/>
        </w:rPr>
      </w:pPr>
      <w:r>
        <w:rPr>
          <w:rFonts w:hint="eastAsia"/>
          <w:sz w:val="24"/>
        </w:rPr>
        <w:t>三、买方工作人员应保持与卖方的正常业务交往，不得接受卖方的礼金、有价证券和贵重物品，不得在卖方报销任何应当由个人支付的费用。</w:t>
      </w:r>
    </w:p>
    <w:p>
      <w:pPr>
        <w:spacing w:line="520" w:lineRule="exact"/>
        <w:ind w:firstLine="645"/>
        <w:rPr>
          <w:sz w:val="24"/>
        </w:rPr>
      </w:pPr>
      <w:r>
        <w:rPr>
          <w:rFonts w:hint="eastAsia"/>
          <w:sz w:val="24"/>
        </w:rPr>
        <w:t>四、买方人员不得参加可能对执行公务有影响的宴请和娱乐活动。</w:t>
      </w:r>
    </w:p>
    <w:p>
      <w:pPr>
        <w:spacing w:line="520" w:lineRule="exact"/>
        <w:ind w:firstLine="645"/>
        <w:rPr>
          <w:sz w:val="24"/>
        </w:rPr>
      </w:pPr>
      <w:r>
        <w:rPr>
          <w:rFonts w:hint="eastAsia"/>
          <w:sz w:val="24"/>
        </w:rPr>
        <w:t>五、买方工作人员不得要求或者接受卖方为其住房装修、参与婚丧嫁娶、家属和子女的工作安排以及出国等提供方便。</w:t>
      </w:r>
    </w:p>
    <w:p>
      <w:pPr>
        <w:spacing w:line="520" w:lineRule="exact"/>
        <w:ind w:firstLine="645"/>
        <w:rPr>
          <w:sz w:val="24"/>
        </w:rPr>
      </w:pPr>
      <w:r>
        <w:rPr>
          <w:rFonts w:hint="eastAsia"/>
          <w:sz w:val="24"/>
        </w:rPr>
        <w:t>六、买方工作人员不得向卖方介绍家属或者亲友从事与买方工程有关的材料设备供应等经济活动。</w:t>
      </w:r>
    </w:p>
    <w:p>
      <w:pPr>
        <w:spacing w:line="520" w:lineRule="exact"/>
        <w:ind w:firstLine="645"/>
        <w:rPr>
          <w:sz w:val="24"/>
        </w:rPr>
      </w:pPr>
      <w:r>
        <w:rPr>
          <w:rFonts w:hint="eastAsia"/>
          <w:sz w:val="24"/>
        </w:rPr>
        <w:t>七、卖方应当通过正常途径开展相关工作，不得为获取某些利益向买方工作人员赠送礼金、有价证券和贵重物品等。</w:t>
      </w:r>
    </w:p>
    <w:p>
      <w:pPr>
        <w:spacing w:line="520" w:lineRule="exact"/>
        <w:ind w:firstLine="645"/>
        <w:rPr>
          <w:sz w:val="24"/>
        </w:rPr>
      </w:pPr>
      <w:r>
        <w:rPr>
          <w:rFonts w:hint="eastAsia"/>
          <w:sz w:val="24"/>
        </w:rPr>
        <w:t>八、卖方不得为谋取利益擅自与买方工作人员就工程材料设备供应问题处理进行私下商谈或者达成默契。</w:t>
      </w:r>
    </w:p>
    <w:p>
      <w:pPr>
        <w:spacing w:line="520" w:lineRule="exact"/>
        <w:ind w:firstLine="645"/>
        <w:rPr>
          <w:sz w:val="24"/>
        </w:rPr>
      </w:pPr>
      <w:r>
        <w:rPr>
          <w:rFonts w:hint="eastAsia"/>
          <w:sz w:val="24"/>
        </w:rPr>
        <w:t>九、卖方不得以洽谈业务、签订经济合同为借口，邀请买方工作人员外出旅游和进入营业性娱乐场所娱乐。</w:t>
      </w:r>
    </w:p>
    <w:p>
      <w:pPr>
        <w:spacing w:line="520" w:lineRule="exact"/>
        <w:ind w:firstLine="645"/>
        <w:rPr>
          <w:sz w:val="24"/>
        </w:rPr>
      </w:pPr>
      <w:r>
        <w:rPr>
          <w:rFonts w:hint="eastAsia"/>
          <w:sz w:val="24"/>
        </w:rPr>
        <w:t>十、卖方不得为买方单位和个人购置或者提供通讯工具、交通工具、家电、高档办公用品等物品。</w:t>
      </w:r>
    </w:p>
    <w:p>
      <w:pPr>
        <w:spacing w:line="520" w:lineRule="exact"/>
        <w:ind w:firstLine="645"/>
        <w:rPr>
          <w:sz w:val="24"/>
        </w:rPr>
      </w:pPr>
      <w:r>
        <w:rPr>
          <w:rFonts w:hint="eastAsia"/>
          <w:sz w:val="24"/>
        </w:rPr>
        <w:t>十一、卖方如发现买方工作人员有违反上述协议者，应向买方领导或者买方上级单位举报。买方不得找任何借口对卖方进行报复。</w:t>
      </w:r>
    </w:p>
    <w:p>
      <w:pPr>
        <w:spacing w:line="520" w:lineRule="exact"/>
        <w:ind w:firstLine="645"/>
        <w:rPr>
          <w:sz w:val="24"/>
        </w:rPr>
      </w:pPr>
      <w:r>
        <w:rPr>
          <w:rFonts w:hint="eastAsia"/>
          <w:sz w:val="24"/>
        </w:rPr>
        <w:t>十二、买方发现卖方有违反本协议或者采取不正当的手段行贿买方工作人员，买方根据具体情节和造成的后果有权按合同价款的1%追究卖方的违约金。由此给买方单位造成的损失均由卖方承担，卖方用不正当手段获取的非法所得由买方单位予以追缴。</w:t>
      </w:r>
    </w:p>
    <w:p>
      <w:pPr>
        <w:spacing w:line="520" w:lineRule="exact"/>
        <w:ind w:firstLine="645"/>
        <w:rPr>
          <w:sz w:val="24"/>
        </w:rPr>
      </w:pPr>
      <w:r>
        <w:rPr>
          <w:rFonts w:hint="eastAsia"/>
          <w:sz w:val="24"/>
        </w:rPr>
        <w:t>十三、本廉政合同作为 合同书的附件，与合同书具有同等法律效力，经协议双方签署后立即生效。</w:t>
      </w:r>
    </w:p>
    <w:p>
      <w:pPr>
        <w:spacing w:line="480" w:lineRule="exact"/>
        <w:ind w:firstLine="480" w:firstLineChars="200"/>
        <w:rPr>
          <w:sz w:val="24"/>
        </w:rPr>
      </w:pPr>
      <w:r>
        <w:rPr>
          <w:rFonts w:hint="eastAsia"/>
          <w:sz w:val="24"/>
        </w:rPr>
        <w:t>十四、本合同一式肆份，</w:t>
      </w:r>
      <w:r>
        <w:rPr>
          <w:rFonts w:hint="eastAsia"/>
          <w:sz w:val="24"/>
          <w:lang w:val="en-US" w:eastAsia="zh-CN"/>
        </w:rPr>
        <w:t>双方各</w:t>
      </w:r>
      <w:r>
        <w:rPr>
          <w:rFonts w:hint="eastAsia"/>
          <w:sz w:val="24"/>
        </w:rPr>
        <w:t>执贰份。</w:t>
      </w:r>
    </w:p>
    <w:p>
      <w:pPr>
        <w:spacing w:line="480" w:lineRule="exact"/>
        <w:ind w:firstLine="480" w:firstLineChars="200"/>
        <w:rPr>
          <w:rFonts w:hint="eastAsia"/>
          <w:sz w:val="24"/>
        </w:rPr>
      </w:pPr>
    </w:p>
    <w:tbl>
      <w:tblPr>
        <w:tblStyle w:val="20"/>
        <w:tblW w:w="10378" w:type="dxa"/>
        <w:jc w:val="center"/>
        <w:tblLayout w:type="fixed"/>
        <w:tblCellMar>
          <w:top w:w="0" w:type="dxa"/>
          <w:left w:w="108" w:type="dxa"/>
          <w:bottom w:w="0" w:type="dxa"/>
          <w:right w:w="108" w:type="dxa"/>
        </w:tblCellMar>
      </w:tblPr>
      <w:tblGrid>
        <w:gridCol w:w="1061"/>
        <w:gridCol w:w="3660"/>
        <w:gridCol w:w="318"/>
        <w:gridCol w:w="1167"/>
        <w:gridCol w:w="4172"/>
      </w:tblGrid>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甲  方:</w:t>
            </w:r>
          </w:p>
        </w:tc>
        <w:tc>
          <w:tcPr>
            <w:tcW w:w="3660" w:type="dxa"/>
            <w:noWrap w:val="0"/>
            <w:vAlign w:val="top"/>
          </w:tcPr>
          <w:p>
            <w:pPr>
              <w:ind w:left="-27" w:leftChars="-13"/>
              <w:jc w:val="both"/>
              <w:rPr>
                <w:rFonts w:hint="eastAsia" w:ascii="宋体" w:hAnsi="宋体" w:cs="宋体"/>
                <w:sz w:val="24"/>
              </w:rPr>
            </w:pPr>
            <w:r>
              <w:rPr>
                <w:rFonts w:hint="eastAsia" w:ascii="宋体" w:hAnsi="宋体" w:cs="宋体"/>
                <w:sz w:val="24"/>
              </w:rPr>
              <w:t>南通市通州区水务有限公司</w:t>
            </w: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left="-1" w:right="-288" w:hanging="1"/>
              <w:jc w:val="both"/>
              <w:rPr>
                <w:rFonts w:hint="eastAsia" w:ascii="宋体" w:hAnsi="宋体" w:cs="宋体"/>
                <w:sz w:val="24"/>
              </w:rPr>
            </w:pPr>
            <w:r>
              <w:rPr>
                <w:rFonts w:hint="eastAsia" w:ascii="宋体" w:hAnsi="宋体" w:cs="宋体"/>
                <w:sz w:val="24"/>
              </w:rPr>
              <w:t>乙  方：</w:t>
            </w:r>
          </w:p>
        </w:tc>
        <w:tc>
          <w:tcPr>
            <w:tcW w:w="4172" w:type="dxa"/>
            <w:noWrap w:val="0"/>
            <w:vAlign w:val="top"/>
          </w:tcPr>
          <w:p>
            <w:pPr>
              <w:spacing w:line="360" w:lineRule="auto"/>
              <w:ind w:left="-181" w:leftChars="-86" w:firstLine="192" w:firstLineChars="80"/>
              <w:jc w:val="both"/>
              <w:rPr>
                <w:rFonts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 xml:space="preserve">地  址：                       </w:t>
            </w:r>
          </w:p>
        </w:tc>
        <w:tc>
          <w:tcPr>
            <w:tcW w:w="3660" w:type="dxa"/>
            <w:noWrap w:val="0"/>
            <w:vAlign w:val="top"/>
          </w:tcPr>
          <w:p>
            <w:pPr>
              <w:spacing w:line="360" w:lineRule="auto"/>
              <w:ind w:right="-108"/>
              <w:jc w:val="both"/>
              <w:rPr>
                <w:rFonts w:hint="eastAsia" w:ascii="宋体" w:hAnsi="宋体" w:cs="宋体"/>
                <w:sz w:val="24"/>
              </w:rPr>
            </w:pPr>
            <w:r>
              <w:rPr>
                <w:rFonts w:hint="eastAsia" w:ascii="宋体" w:hAnsi="宋体" w:cs="宋体"/>
                <w:sz w:val="24"/>
              </w:rPr>
              <w:t>通州区金沙镇金通路银河路口</w:t>
            </w:r>
          </w:p>
        </w:tc>
        <w:tc>
          <w:tcPr>
            <w:tcW w:w="318" w:type="dxa"/>
            <w:noWrap w:val="0"/>
            <w:vAlign w:val="top"/>
          </w:tcPr>
          <w:p>
            <w:pPr>
              <w:jc w:val="both"/>
              <w:rPr>
                <w:rFonts w:hint="eastAsia" w:ascii="宋体" w:hAnsi="宋体" w:cs="宋体"/>
                <w:sz w:val="24"/>
              </w:rPr>
            </w:pPr>
          </w:p>
        </w:tc>
        <w:tc>
          <w:tcPr>
            <w:tcW w:w="1167" w:type="dxa"/>
            <w:noWrap w:val="0"/>
            <w:vAlign w:val="top"/>
          </w:tcPr>
          <w:p>
            <w:pPr>
              <w:ind w:right="-288"/>
              <w:jc w:val="both"/>
              <w:rPr>
                <w:rFonts w:hint="eastAsia" w:ascii="宋体" w:hAnsi="宋体" w:cs="宋体"/>
                <w:sz w:val="24"/>
              </w:rPr>
            </w:pPr>
            <w:r>
              <w:rPr>
                <w:rFonts w:hint="eastAsia" w:ascii="宋体" w:hAnsi="宋体" w:cs="宋体"/>
                <w:sz w:val="24"/>
              </w:rPr>
              <w:t>地  址：</w:t>
            </w:r>
          </w:p>
        </w:tc>
        <w:tc>
          <w:tcPr>
            <w:tcW w:w="4172" w:type="dxa"/>
            <w:noWrap w:val="0"/>
            <w:vAlign w:val="top"/>
          </w:tcPr>
          <w:p>
            <w:pPr>
              <w:ind w:right="-288"/>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代表人：</w:t>
            </w:r>
          </w:p>
        </w:tc>
        <w:tc>
          <w:tcPr>
            <w:tcW w:w="3660" w:type="dxa"/>
            <w:noWrap w:val="0"/>
            <w:vAlign w:val="top"/>
          </w:tcPr>
          <w:p>
            <w:pPr>
              <w:ind w:right="-288"/>
              <w:jc w:val="both"/>
              <w:rPr>
                <w:rFonts w:hint="eastAsia" w:ascii="宋体" w:hAnsi="宋体" w:cs="宋体"/>
                <w:sz w:val="24"/>
              </w:rPr>
            </w:pP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代表人：</w:t>
            </w:r>
          </w:p>
        </w:tc>
        <w:tc>
          <w:tcPr>
            <w:tcW w:w="4172" w:type="dxa"/>
            <w:noWrap w:val="0"/>
            <w:vAlign w:val="top"/>
          </w:tcPr>
          <w:p>
            <w:pPr>
              <w:spacing w:line="360" w:lineRule="auto"/>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电  话：</w:t>
            </w:r>
          </w:p>
        </w:tc>
        <w:tc>
          <w:tcPr>
            <w:tcW w:w="3660" w:type="dxa"/>
            <w:noWrap w:val="0"/>
            <w:vAlign w:val="top"/>
          </w:tcPr>
          <w:p>
            <w:pPr>
              <w:spacing w:line="360" w:lineRule="auto"/>
              <w:ind w:right="-288"/>
              <w:jc w:val="both"/>
              <w:rPr>
                <w:rFonts w:hint="eastAsia" w:ascii="宋体" w:hAnsi="宋体" w:cs="宋体"/>
                <w:sz w:val="24"/>
              </w:rPr>
            </w:pPr>
            <w:r>
              <w:rPr>
                <w:rFonts w:ascii="宋体" w:hAnsi="宋体" w:cs="宋体"/>
                <w:sz w:val="24"/>
              </w:rPr>
              <w:t>051</w:t>
            </w:r>
            <w:r>
              <w:rPr>
                <w:rFonts w:hint="eastAsia" w:ascii="宋体" w:hAnsi="宋体" w:cs="宋体"/>
                <w:sz w:val="24"/>
              </w:rPr>
              <w:t>3-86548930</w:t>
            </w: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电  话：</w:t>
            </w:r>
          </w:p>
        </w:tc>
        <w:tc>
          <w:tcPr>
            <w:tcW w:w="4172" w:type="dxa"/>
            <w:noWrap w:val="0"/>
            <w:vAlign w:val="top"/>
          </w:tcPr>
          <w:p>
            <w:pPr>
              <w:spacing w:line="360" w:lineRule="auto"/>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传  真：</w:t>
            </w:r>
          </w:p>
        </w:tc>
        <w:tc>
          <w:tcPr>
            <w:tcW w:w="3660" w:type="dxa"/>
            <w:noWrap w:val="0"/>
            <w:vAlign w:val="top"/>
          </w:tcPr>
          <w:p>
            <w:pPr>
              <w:spacing w:line="360" w:lineRule="auto"/>
              <w:ind w:right="-108"/>
              <w:jc w:val="both"/>
              <w:rPr>
                <w:rFonts w:hint="eastAsia" w:ascii="宋体" w:hAnsi="宋体" w:cs="宋体"/>
                <w:sz w:val="24"/>
              </w:rPr>
            </w:pP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传  真：</w:t>
            </w:r>
          </w:p>
        </w:tc>
        <w:tc>
          <w:tcPr>
            <w:tcW w:w="4172" w:type="dxa"/>
            <w:noWrap w:val="0"/>
            <w:vAlign w:val="top"/>
          </w:tcPr>
          <w:p>
            <w:pPr>
              <w:spacing w:line="360" w:lineRule="auto"/>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开户行：</w:t>
            </w:r>
          </w:p>
        </w:tc>
        <w:tc>
          <w:tcPr>
            <w:tcW w:w="3660" w:type="dxa"/>
            <w:noWrap w:val="0"/>
            <w:vAlign w:val="top"/>
          </w:tcPr>
          <w:p>
            <w:pPr>
              <w:spacing w:line="360" w:lineRule="auto"/>
              <w:ind w:right="-108"/>
              <w:jc w:val="both"/>
              <w:rPr>
                <w:rFonts w:hint="eastAsia" w:ascii="宋体" w:hAnsi="宋体" w:cs="宋体"/>
                <w:sz w:val="24"/>
              </w:rPr>
            </w:pPr>
            <w:r>
              <w:rPr>
                <w:rFonts w:hint="eastAsia" w:ascii="宋体" w:hAnsi="宋体" w:cs="宋体"/>
                <w:sz w:val="24"/>
              </w:rPr>
              <w:t>建设银行南通分行通州支行</w:t>
            </w:r>
          </w:p>
        </w:tc>
        <w:tc>
          <w:tcPr>
            <w:tcW w:w="318" w:type="dxa"/>
            <w:noWrap w:val="0"/>
            <w:vAlign w:val="top"/>
          </w:tcPr>
          <w:p>
            <w:pPr>
              <w:spacing w:line="360" w:lineRule="auto"/>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开户行：</w:t>
            </w:r>
          </w:p>
        </w:tc>
        <w:tc>
          <w:tcPr>
            <w:tcW w:w="4172" w:type="dxa"/>
            <w:noWrap w:val="0"/>
            <w:vAlign w:val="top"/>
          </w:tcPr>
          <w:p>
            <w:pPr>
              <w:spacing w:line="360" w:lineRule="auto"/>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ind w:right="-288"/>
              <w:jc w:val="both"/>
              <w:rPr>
                <w:rFonts w:hint="eastAsia" w:ascii="宋体" w:hAnsi="宋体" w:cs="宋体"/>
                <w:sz w:val="24"/>
              </w:rPr>
            </w:pPr>
            <w:r>
              <w:rPr>
                <w:rFonts w:hint="eastAsia" w:ascii="宋体" w:hAnsi="宋体" w:cs="宋体"/>
                <w:sz w:val="24"/>
              </w:rPr>
              <w:t>帐  号：</w:t>
            </w:r>
          </w:p>
        </w:tc>
        <w:tc>
          <w:tcPr>
            <w:tcW w:w="3660"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32001647436050826314</w:t>
            </w:r>
          </w:p>
        </w:tc>
        <w:tc>
          <w:tcPr>
            <w:tcW w:w="318" w:type="dxa"/>
            <w:noWrap w:val="0"/>
            <w:vAlign w:val="top"/>
          </w:tcPr>
          <w:p>
            <w:pPr>
              <w:spacing w:line="360" w:lineRule="auto"/>
              <w:ind w:left="-107" w:leftChars="-51" w:firstLine="108" w:firstLineChars="45"/>
              <w:jc w:val="both"/>
              <w:rPr>
                <w:rFonts w:hint="eastAsia" w:ascii="宋体" w:hAnsi="宋体" w:cs="宋体"/>
                <w:sz w:val="24"/>
              </w:rPr>
            </w:pPr>
          </w:p>
        </w:tc>
        <w:tc>
          <w:tcPr>
            <w:tcW w:w="1167" w:type="dxa"/>
            <w:noWrap w:val="0"/>
            <w:vAlign w:val="top"/>
          </w:tcPr>
          <w:p>
            <w:pPr>
              <w:spacing w:line="360" w:lineRule="auto"/>
              <w:ind w:right="-288"/>
              <w:jc w:val="both"/>
              <w:rPr>
                <w:rFonts w:hint="eastAsia" w:ascii="宋体" w:hAnsi="宋体" w:cs="宋体"/>
                <w:sz w:val="24"/>
              </w:rPr>
            </w:pPr>
            <w:r>
              <w:rPr>
                <w:rFonts w:hint="eastAsia" w:ascii="宋体" w:hAnsi="宋体" w:cs="宋体"/>
                <w:sz w:val="24"/>
              </w:rPr>
              <w:t>帐  号：</w:t>
            </w:r>
          </w:p>
        </w:tc>
        <w:tc>
          <w:tcPr>
            <w:tcW w:w="4172" w:type="dxa"/>
            <w:noWrap w:val="0"/>
            <w:vAlign w:val="top"/>
          </w:tcPr>
          <w:p>
            <w:pPr>
              <w:spacing w:line="360" w:lineRule="auto"/>
              <w:ind w:right="-288"/>
              <w:jc w:val="both"/>
              <w:rPr>
                <w:rFonts w:hint="eastAsia" w:ascii="宋体" w:hAnsi="宋体" w:cs="宋体"/>
                <w:sz w:val="24"/>
              </w:rPr>
            </w:pPr>
          </w:p>
        </w:tc>
      </w:tr>
      <w:tr>
        <w:tblPrEx>
          <w:tblCellMar>
            <w:top w:w="0" w:type="dxa"/>
            <w:left w:w="108" w:type="dxa"/>
            <w:bottom w:w="0" w:type="dxa"/>
            <w:right w:w="108" w:type="dxa"/>
          </w:tblCellMar>
        </w:tblPrEx>
        <w:trPr>
          <w:trHeight w:val="546" w:hRule="atLeast"/>
          <w:jc w:val="center"/>
        </w:trPr>
        <w:tc>
          <w:tcPr>
            <w:tcW w:w="1061" w:type="dxa"/>
            <w:noWrap w:val="0"/>
            <w:vAlign w:val="top"/>
          </w:tcPr>
          <w:p>
            <w:pPr>
              <w:spacing w:line="240" w:lineRule="atLeast"/>
              <w:ind w:right="-288"/>
              <w:jc w:val="both"/>
              <w:rPr>
                <w:rFonts w:hint="eastAsia" w:ascii="宋体" w:hAnsi="宋体" w:cs="宋体"/>
                <w:sz w:val="24"/>
              </w:rPr>
            </w:pPr>
            <w:r>
              <w:rPr>
                <w:rFonts w:hint="eastAsia" w:ascii="宋体" w:hAnsi="宋体" w:cs="宋体"/>
                <w:sz w:val="24"/>
              </w:rPr>
              <w:t>税  号：</w:t>
            </w:r>
          </w:p>
        </w:tc>
        <w:tc>
          <w:tcPr>
            <w:tcW w:w="3660" w:type="dxa"/>
            <w:noWrap w:val="0"/>
            <w:vAlign w:val="top"/>
          </w:tcPr>
          <w:p>
            <w:pPr>
              <w:spacing w:line="240" w:lineRule="atLeast"/>
              <w:ind w:right="-288"/>
              <w:jc w:val="both"/>
              <w:rPr>
                <w:rFonts w:hint="eastAsia" w:ascii="宋体" w:hAnsi="宋体" w:cs="宋体"/>
                <w:sz w:val="24"/>
              </w:rPr>
            </w:pPr>
            <w:r>
              <w:rPr>
                <w:rFonts w:hint="eastAsia" w:ascii="宋体" w:hAnsi="宋体" w:cs="宋体"/>
                <w:sz w:val="24"/>
              </w:rPr>
              <w:t>913206121387378220</w:t>
            </w:r>
          </w:p>
        </w:tc>
        <w:tc>
          <w:tcPr>
            <w:tcW w:w="318" w:type="dxa"/>
            <w:noWrap w:val="0"/>
            <w:vAlign w:val="top"/>
          </w:tcPr>
          <w:p>
            <w:pPr>
              <w:spacing w:line="240" w:lineRule="atLeast"/>
              <w:ind w:right="-288"/>
              <w:jc w:val="both"/>
              <w:rPr>
                <w:rFonts w:hint="eastAsia" w:ascii="宋体" w:hAnsi="宋体" w:cs="宋体"/>
                <w:sz w:val="24"/>
              </w:rPr>
            </w:pPr>
          </w:p>
        </w:tc>
        <w:tc>
          <w:tcPr>
            <w:tcW w:w="1167" w:type="dxa"/>
            <w:noWrap w:val="0"/>
            <w:vAlign w:val="top"/>
          </w:tcPr>
          <w:p>
            <w:pPr>
              <w:spacing w:line="240" w:lineRule="atLeast"/>
              <w:ind w:right="-288"/>
              <w:jc w:val="both"/>
              <w:rPr>
                <w:rFonts w:hint="eastAsia" w:ascii="宋体" w:hAnsi="宋体" w:cs="宋体"/>
                <w:sz w:val="24"/>
              </w:rPr>
            </w:pPr>
            <w:r>
              <w:rPr>
                <w:rFonts w:hint="eastAsia" w:ascii="宋体" w:hAnsi="宋体" w:cs="宋体"/>
                <w:sz w:val="24"/>
              </w:rPr>
              <w:t>税  号：</w:t>
            </w:r>
          </w:p>
        </w:tc>
        <w:tc>
          <w:tcPr>
            <w:tcW w:w="4172" w:type="dxa"/>
            <w:noWrap w:val="0"/>
            <w:vAlign w:val="top"/>
          </w:tcPr>
          <w:p>
            <w:pPr>
              <w:spacing w:line="240" w:lineRule="atLeast"/>
              <w:ind w:right="-288"/>
              <w:jc w:val="both"/>
              <w:rPr>
                <w:rFonts w:hint="eastAsia" w:ascii="宋体" w:hAnsi="宋体" w:cs="宋体"/>
                <w:sz w:val="24"/>
              </w:rPr>
            </w:pPr>
          </w:p>
        </w:tc>
      </w:tr>
    </w:tbl>
    <w:p>
      <w:pPr>
        <w:spacing w:line="480" w:lineRule="exact"/>
        <w:ind w:firstLine="560" w:firstLineChars="200"/>
        <w:rPr>
          <w:sz w:val="28"/>
        </w:rPr>
      </w:pPr>
    </w:p>
    <w:p>
      <w:pPr>
        <w:ind w:firstLine="482" w:firstLineChars="200"/>
        <w:rPr>
          <w:rFonts w:ascii="Arial" w:hAnsi="Arial" w:cs="Arial"/>
          <w:b/>
          <w:sz w:val="24"/>
          <w:highlight w:val="none"/>
        </w:rPr>
      </w:pPr>
    </w:p>
    <w:p>
      <w:pPr>
        <w:ind w:firstLine="482" w:firstLineChars="200"/>
        <w:rPr>
          <w:rFonts w:ascii="Arial" w:hAnsi="Arial" w:cs="Arial"/>
          <w:b/>
          <w:sz w:val="24"/>
          <w:highlight w:val="none"/>
        </w:rPr>
        <w:sectPr>
          <w:headerReference r:id="rId3" w:type="default"/>
          <w:pgSz w:w="11906" w:h="16838"/>
          <w:pgMar w:top="1440" w:right="1560" w:bottom="1440" w:left="1135" w:header="851" w:footer="992" w:gutter="0"/>
          <w:cols w:space="720" w:num="1"/>
          <w:docGrid w:linePitch="312" w:charSpace="0"/>
        </w:sectPr>
      </w:pPr>
    </w:p>
    <w:p>
      <w:pPr>
        <w:widowControl/>
        <w:spacing w:line="375" w:lineRule="atLeast"/>
        <w:ind w:firstLine="630"/>
        <w:rPr>
          <w:rFonts w:hint="eastAsia" w:ascii="方正仿宋_GBK" w:hAnsi="方正仿宋_GBK" w:eastAsia="方正仿宋_GBK" w:cs="方正仿宋_GBK"/>
          <w:color w:val="000000"/>
          <w:kern w:val="0"/>
          <w:sz w:val="28"/>
          <w:szCs w:val="28"/>
        </w:rPr>
      </w:pPr>
    </w:p>
    <w:tbl>
      <w:tblPr>
        <w:tblStyle w:val="20"/>
        <w:tblW w:w="14829" w:type="dxa"/>
        <w:jc w:val="center"/>
        <w:tblLayout w:type="fixed"/>
        <w:tblCellMar>
          <w:top w:w="0" w:type="dxa"/>
          <w:left w:w="0" w:type="dxa"/>
          <w:bottom w:w="0" w:type="dxa"/>
          <w:right w:w="0" w:type="dxa"/>
        </w:tblCellMar>
      </w:tblPr>
      <w:tblGrid>
        <w:gridCol w:w="588"/>
        <w:gridCol w:w="2314"/>
        <w:gridCol w:w="5550"/>
        <w:gridCol w:w="1701"/>
        <w:gridCol w:w="735"/>
        <w:gridCol w:w="793"/>
        <w:gridCol w:w="622"/>
        <w:gridCol w:w="915"/>
        <w:gridCol w:w="1611"/>
      </w:tblGrid>
      <w:tr>
        <w:tblPrEx>
          <w:tblCellMar>
            <w:top w:w="0" w:type="dxa"/>
            <w:left w:w="0" w:type="dxa"/>
            <w:bottom w:w="0" w:type="dxa"/>
            <w:right w:w="0" w:type="dxa"/>
          </w:tblCellMar>
        </w:tblPrEx>
        <w:trPr>
          <w:trHeight w:val="37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南通市通州区水务有限公司泵站补氯</w:t>
            </w:r>
            <w:r>
              <w:rPr>
                <w:rFonts w:hint="eastAsia" w:ascii="宋体" w:hAnsi="宋体" w:cs="宋体"/>
                <w:i w:val="0"/>
                <w:color w:val="000000"/>
                <w:kern w:val="0"/>
                <w:sz w:val="28"/>
                <w:szCs w:val="28"/>
                <w:u w:val="none"/>
                <w:lang w:val="en-US" w:eastAsia="zh-CN" w:bidi="ar"/>
              </w:rPr>
              <w:t>装置采购安装项目供货</w:t>
            </w:r>
            <w:r>
              <w:rPr>
                <w:rFonts w:hint="eastAsia" w:ascii="宋体" w:hAnsi="宋体" w:eastAsia="宋体" w:cs="宋体"/>
                <w:i w:val="0"/>
                <w:color w:val="000000"/>
                <w:kern w:val="0"/>
                <w:sz w:val="28"/>
                <w:szCs w:val="28"/>
                <w:u w:val="none"/>
                <w:lang w:val="en-US" w:eastAsia="zh-CN" w:bidi="ar"/>
              </w:rPr>
              <w:t>清单</w:t>
            </w:r>
          </w:p>
        </w:tc>
      </w:tr>
      <w:tr>
        <w:tblPrEx>
          <w:tblCellMar>
            <w:top w:w="0" w:type="dxa"/>
            <w:left w:w="0" w:type="dxa"/>
            <w:bottom w:w="0" w:type="dxa"/>
            <w:right w:w="0" w:type="dxa"/>
          </w:tblCellMar>
        </w:tblPrEx>
        <w:trPr>
          <w:trHeight w:val="28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一、五平泵站改造清单（日供水5万吨）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0.25立方PE桶，厚度不低于3mm</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户外保护罩</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PE桶保护装饰外罩,不锈钢304材质，厚度不低于1mm，带防护锁</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一体化补氯控制柜</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分别包含以下组件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计量泵柜体</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碳钢喷塑，板厚1.5mm，带玻璃视窗</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计量泵安装机架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铝合金型材或不锈钢型材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加注泵63L/h，6.5bar计量泵，带4-20mA控制功能</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普罗名特/格兰富/米顿罗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DN15安全阀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DN15背压阀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不锈钢耐腐压力表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DN15 </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阻尼器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Y型过滤器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管道、阀门及配件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计量泵吸入和投加，排空</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华亚/三厘/环琪</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扩展AO模块</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SB AQ01，配一进一出信号隔离器</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西门子</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动力线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VV 4*2.5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KVV 5*1.5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RVVP 2*2*1.0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加氯管</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 DN20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三德</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预留放空阀</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破路补路</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包含挖土敷设管路</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开挖尺寸深10cm，宽5cm</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带压开孔</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含投加点组件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安装辅材</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现场安装调试费</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0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上位机修改及PLC程序修改</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与原有平台兼容，在本地电脑及中控室电脑均可控制，可自动/手动切换，根据余氯设定值自动调节投加量</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二、三余泵站改造清单</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药桶基础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用红砖或水泥砖铺垫（非混泥土基础），包含人工。现有药桶箱保护外框防腐处理。</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三、九华泵站改造清单（日供水4万吨）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0.5立方PE桶加厚，厚度不低于3mm</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一体化补氯控制柜</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分别包含以下组件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安装在氯瓶间</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计量泵柜体</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碳钢喷塑，板厚1.5mm，带玻璃视窗</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计量泵安装机架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铝合金型材或不锈钢型材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加注泵63L/h，6.5bar计量泵，带4-20mA控制功能</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普罗名特/格兰富/米顿罗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DN15安全阀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DN15背压阀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不锈钢耐腐压力表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DN15 </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Y型过滤器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阻尼器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管道、阀门及配件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计量泵吸入和投加，排空</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华亚/三厘/环琪</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PLC模块</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SR20+AM06模块,，配一进一出信号隔离器，配控制箱</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西门子</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动力线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VV 4*2.5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KVV 5*1.5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RVVP 2*2*1.0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加氯管</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 DN20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三德</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预留放空阀</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带压开孔</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含投加点组件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安装辅材</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另含网线</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现场安装调试费</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上位机修改及PLC程序修改</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与原有平台兼容，在本地电脑及中控室电脑均可控制，可自动/手动切换，根据余氯设定值自动调节投加量</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四、二泵房改造清单（日供水9万吨）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0.5立方PE桶加厚，厚度不低于3mm</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一体化补氯控制柜</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分别包含以下组件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安装在氯瓶间</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计量泵柜体</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碳钢喷塑，板厚1.5mm，带玻璃视窗</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计量泵安装机架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铝合金型材或不锈钢型材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加注泵63L/h，6.5bar计量泵，带4-20mA控制功能</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普罗名特/格兰富/米顿罗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DN15安全阀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DN15背压阀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不锈钢耐腐压力表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DN15 </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Y型过滤器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阻尼器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管道、阀门及配件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计量泵吸入和投加，排空</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华亚/三厘/环琪</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扩展AO模块</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AQ04模块，配一进一出信号隔离器</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西门子</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动力线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VV 4*2.5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KVV 5*1.5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RVVP 2*2*1.0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加氯管</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 DN20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三德</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预留放空阀</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破路补路</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包含挖土敷设管路</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sz w:val="24"/>
                <w:szCs w:val="24"/>
                <w:u w:val="none"/>
                <w:lang w:val="en-US" w:eastAsia="zh-CN"/>
              </w:rPr>
              <w:t>开挖尺寸深10cm，宽5cm</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带压开孔</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含投加点组件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安装辅材</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另含网线</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现场安装调试费</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上位机修改及PLC程序修改</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与原有平台兼容，在本地电脑及中控室电脑均可控制，可自动/手动切换，根据余氯设定值自动调节投加量</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9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共计</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widowControl/>
        <w:spacing w:line="375" w:lineRule="atLeast"/>
        <w:ind w:firstLine="630"/>
        <w:rPr>
          <w:rFonts w:hint="eastAsia" w:ascii="方正仿宋_GBK" w:hAnsi="方正仿宋_GBK" w:eastAsia="方正仿宋_GBK" w:cs="方正仿宋_GBK"/>
          <w:color w:val="000000"/>
          <w:kern w:val="0"/>
          <w:sz w:val="28"/>
          <w:szCs w:val="28"/>
        </w:rPr>
      </w:pPr>
    </w:p>
    <w:tbl>
      <w:tblPr>
        <w:tblStyle w:val="20"/>
        <w:tblW w:w="10911" w:type="dxa"/>
        <w:tblInd w:w="0" w:type="dxa"/>
        <w:tblLayout w:type="fixed"/>
        <w:tblCellMar>
          <w:top w:w="0" w:type="dxa"/>
          <w:left w:w="0" w:type="dxa"/>
          <w:bottom w:w="0" w:type="dxa"/>
          <w:right w:w="0" w:type="dxa"/>
        </w:tblCellMar>
      </w:tblPr>
      <w:tblGrid>
        <w:gridCol w:w="10911"/>
      </w:tblGrid>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1.以上数量仅供参考，</w:t>
            </w:r>
            <w:r>
              <w:rPr>
                <w:rFonts w:hint="eastAsia" w:ascii="宋体" w:hAnsi="宋体" w:cs="宋体"/>
                <w:i w:val="0"/>
                <w:color w:val="000000"/>
                <w:kern w:val="0"/>
                <w:sz w:val="22"/>
                <w:szCs w:val="22"/>
                <w:u w:val="none"/>
                <w:lang w:val="en-US" w:eastAsia="zh-CN" w:bidi="ar"/>
              </w:rPr>
              <w:t>招标人组织现场</w:t>
            </w:r>
            <w:r>
              <w:rPr>
                <w:rFonts w:hint="eastAsia" w:ascii="宋体" w:hAnsi="宋体" w:eastAsia="宋体" w:cs="宋体"/>
                <w:i w:val="0"/>
                <w:color w:val="000000"/>
                <w:kern w:val="0"/>
                <w:sz w:val="22"/>
                <w:szCs w:val="22"/>
                <w:u w:val="none"/>
                <w:lang w:val="en-US" w:eastAsia="zh-CN" w:bidi="ar"/>
              </w:rPr>
              <w:t>踏勘</w:t>
            </w:r>
            <w:r>
              <w:rPr>
                <w:rFonts w:hint="eastAsia" w:ascii="宋体" w:hAnsi="宋体" w:cs="宋体"/>
                <w:i w:val="0"/>
                <w:color w:val="000000"/>
                <w:kern w:val="0"/>
                <w:sz w:val="22"/>
                <w:szCs w:val="22"/>
                <w:u w:val="none"/>
                <w:lang w:val="en-US" w:eastAsia="zh-CN" w:bidi="ar"/>
              </w:rPr>
              <w:t>，投标人根据现场施工方案、项目需求确定数量并报价，</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投标人任何漏项、漏报、少报、错报所产生的后果，均由投标人承担责任</w:t>
            </w:r>
            <w:r>
              <w:rPr>
                <w:rFonts w:hint="eastAsia" w:ascii="宋体" w:hAnsi="宋体" w:cs="宋体"/>
                <w:i w:val="0"/>
                <w:color w:val="000000"/>
                <w:kern w:val="0"/>
                <w:sz w:val="22"/>
                <w:szCs w:val="22"/>
                <w:u w:val="none"/>
                <w:lang w:val="en-US" w:eastAsia="zh-CN" w:bidi="ar"/>
              </w:rPr>
              <w:t>中标后不予调整。</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2.所有线缆（含柜内）品牌均需为无锡江南，华美，远东。每根线缆两段均需有号码管。</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3.低压元件品牌为：施耐德、ABB、霍尼韦尔、西门子。</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4.端子排品牌为：菲尼克斯、魏德米勒、西门子。</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5.安装位置需符合甲方要求。线管、管材需符合甲方要求。</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6.总价含所有辅材、原有软件技术对接费用。</w:t>
            </w:r>
          </w:p>
        </w:tc>
      </w:tr>
    </w:tbl>
    <w:p>
      <w:pPr>
        <w:widowControl/>
        <w:spacing w:line="500" w:lineRule="exact"/>
        <w:jc w:val="left"/>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color w:val="000000"/>
          <w:kern w:val="0"/>
          <w:sz w:val="28"/>
          <w:szCs w:val="28"/>
        </w:rPr>
        <w:t>备注：</w:t>
      </w:r>
      <w:r>
        <w:rPr>
          <w:rFonts w:hint="eastAsia" w:ascii="方正仿宋_GBK" w:hAnsi="方正仿宋_GBK" w:eastAsia="方正仿宋_GBK" w:cs="方正仿宋_GBK"/>
          <w:color w:val="000000"/>
          <w:sz w:val="28"/>
          <w:szCs w:val="28"/>
        </w:rPr>
        <w:t>包括完成该项目的全部货物和服务所发生的费用，以及为完成上述内容所必须的税金、保险、劳务、运输及所需的全部费用。</w:t>
      </w:r>
      <w:r>
        <w:rPr>
          <w:rFonts w:hint="eastAsia" w:ascii="方正仿宋_GBK" w:hAnsi="方正仿宋_GBK" w:eastAsia="方正仿宋_GBK" w:cs="方正仿宋_GBK"/>
          <w:b/>
          <w:bCs/>
          <w:kern w:val="0"/>
          <w:sz w:val="28"/>
          <w:szCs w:val="28"/>
        </w:rPr>
        <w:t>上述单价包括</w:t>
      </w:r>
      <w:r>
        <w:rPr>
          <w:rFonts w:hint="eastAsia" w:ascii="方正仿宋_GBK" w:hAnsi="方正仿宋_GBK" w:eastAsia="方正仿宋_GBK" w:cs="方正仿宋_GBK"/>
          <w:sz w:val="28"/>
          <w:szCs w:val="28"/>
        </w:rPr>
        <w:t>所有货物、相关附件、运输保险、装卸、安装</w:t>
      </w:r>
      <w:r>
        <w:rPr>
          <w:rFonts w:hint="eastAsia" w:ascii="方正仿宋_GBK" w:hAnsi="方正仿宋_GBK" w:eastAsia="方正仿宋_GBK" w:cs="方正仿宋_GBK"/>
          <w:sz w:val="28"/>
          <w:szCs w:val="28"/>
          <w:lang w:val="en-US" w:eastAsia="zh-CN"/>
        </w:rPr>
        <w:t>(包括管路、电源等所有线路）</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混凝土切割修复、与原有供水调度平台对接、</w:t>
      </w:r>
      <w:r>
        <w:rPr>
          <w:rFonts w:hint="eastAsia" w:ascii="方正仿宋_GBK" w:hAnsi="方正仿宋_GBK" w:eastAsia="方正仿宋_GBK" w:cs="方正仿宋_GBK"/>
          <w:sz w:val="28"/>
          <w:szCs w:val="28"/>
        </w:rPr>
        <w:t>调试、检测、验收、税金、售后质保、服务、汇率等所有与本项目相关的费用，即招标物交付使用前的所有费用以及免保期内的服务费用等。各投标单位在报价时请充分考虑各种因素，</w:t>
      </w:r>
      <w:r>
        <w:rPr>
          <w:rFonts w:hint="eastAsia" w:ascii="方正仿宋_GBK" w:hAnsi="方正仿宋_GBK" w:eastAsia="方正仿宋_GBK" w:cs="方正仿宋_GBK"/>
          <w:b/>
          <w:bCs/>
          <w:kern w:val="0"/>
          <w:sz w:val="28"/>
          <w:szCs w:val="28"/>
        </w:rPr>
        <w:t>上述单价不因市场价格因素和政策调整的变化而调整。</w:t>
      </w:r>
    </w:p>
    <w:p>
      <w:pPr>
        <w:pStyle w:val="2"/>
        <w:rPr>
          <w:rFonts w:hint="eastAsia"/>
        </w:rPr>
        <w:sectPr>
          <w:pgSz w:w="16838" w:h="11906" w:orient="landscape"/>
          <w:pgMar w:top="1135" w:right="1440" w:bottom="1560" w:left="1440" w:header="851" w:footer="992" w:gutter="0"/>
          <w:cols w:space="720" w:num="1"/>
          <w:docGrid w:linePitch="312" w:charSpace="0"/>
        </w:sectPr>
      </w:pPr>
    </w:p>
    <w:p>
      <w:pPr>
        <w:spacing w:line="360" w:lineRule="auto"/>
        <w:ind w:right="-334" w:rightChars="-159"/>
        <w:jc w:val="center"/>
        <w:rPr>
          <w:rFonts w:ascii="宋体" w:cs="宋体"/>
          <w:b/>
          <w:bCs/>
          <w:color w:val="0D0D0D" w:themeColor="text1" w:themeTint="F2"/>
          <w:sz w:val="36"/>
          <w:szCs w:val="36"/>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6"/>
          <w:szCs w:val="36"/>
          <w:highlight w:val="none"/>
          <w14:textFill>
            <w14:solidFill>
              <w14:schemeClr w14:val="tx1">
                <w14:lumMod w14:val="95000"/>
                <w14:lumOff w14:val="5000"/>
              </w14:schemeClr>
            </w14:solidFill>
          </w14:textFill>
        </w:rPr>
        <w:t>第五章 投标文件格式</w:t>
      </w:r>
    </w:p>
    <w:p>
      <w:pPr>
        <w:spacing w:line="360" w:lineRule="auto"/>
        <w:ind w:right="-334" w:rightChars="-15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360" w:lineRule="auto"/>
        <w:jc w:val="center"/>
        <w:rPr>
          <w:rFonts w:ascii="宋体" w:cs="宋体"/>
          <w:b/>
          <w:bCs/>
          <w:color w:val="0D0D0D" w:themeColor="text1" w:themeTint="F2"/>
          <w:sz w:val="48"/>
          <w:szCs w:val="48"/>
          <w:highlight w:val="none"/>
          <w14:textFill>
            <w14:solidFill>
              <w14:schemeClr w14:val="tx1">
                <w14:lumMod w14:val="95000"/>
                <w14:lumOff w14:val="5000"/>
              </w14:schemeClr>
            </w14:solidFill>
          </w14:textFill>
        </w:rPr>
      </w:pPr>
    </w:p>
    <w:p>
      <w:pPr>
        <w:spacing w:line="700" w:lineRule="exact"/>
        <w:jc w:val="center"/>
        <w:rPr>
          <w:rFonts w:hint="eastAsia" w:ascii="宋体" w:hAnsi="宋体" w:cs="微软雅黑"/>
          <w:sz w:val="48"/>
          <w:szCs w:val="48"/>
          <w:highlight w:val="none"/>
          <w:lang w:eastAsia="zh-CN"/>
        </w:rPr>
      </w:pPr>
      <w:r>
        <w:rPr>
          <w:rFonts w:hint="eastAsia" w:ascii="宋体" w:hAnsi="宋体" w:cs="微软雅黑"/>
          <w:sz w:val="48"/>
          <w:szCs w:val="48"/>
          <w:highlight w:val="none"/>
          <w:lang w:eastAsia="zh-CN"/>
        </w:rPr>
        <w:t>南通市通州区水务有限公司</w:t>
      </w:r>
    </w:p>
    <w:p>
      <w:pPr>
        <w:spacing w:line="700" w:lineRule="exact"/>
        <w:jc w:val="center"/>
        <w:rPr>
          <w:rFonts w:ascii="宋体" w:hAnsi="宋体" w:cs="微软雅黑"/>
          <w:sz w:val="48"/>
          <w:szCs w:val="48"/>
          <w:highlight w:val="none"/>
        </w:rPr>
      </w:pPr>
      <w:r>
        <w:rPr>
          <w:rFonts w:hint="eastAsia" w:ascii="宋体" w:hAnsi="宋体" w:cs="微软雅黑"/>
          <w:sz w:val="48"/>
          <w:szCs w:val="48"/>
          <w:highlight w:val="none"/>
          <w:lang w:eastAsia="zh-CN"/>
        </w:rPr>
        <w:t>泵站补氯装置采购项目</w:t>
      </w:r>
    </w:p>
    <w:p>
      <w:pPr>
        <w:jc w:val="center"/>
        <w:rPr>
          <w:rFonts w:ascii="宋体" w:hAnsi="宋体"/>
          <w:b/>
          <w:color w:val="000000"/>
          <w:sz w:val="36"/>
          <w:szCs w:val="36"/>
          <w:highlight w:val="none"/>
        </w:rPr>
      </w:pPr>
    </w:p>
    <w:p>
      <w:pPr>
        <w:spacing w:line="360" w:lineRule="auto"/>
        <w:ind w:right="-334" w:rightChars="-159"/>
        <w:rPr>
          <w:rFonts w:ascii="宋体" w:cs="宋体"/>
          <w:b/>
          <w:bCs/>
          <w:color w:val="0D0D0D" w:themeColor="text1" w:themeTint="F2"/>
          <w:sz w:val="44"/>
          <w:szCs w:val="44"/>
          <w:highlight w:val="none"/>
          <w14:textFill>
            <w14:solidFill>
              <w14:schemeClr w14:val="tx1">
                <w14:lumMod w14:val="95000"/>
                <w14:lumOff w14:val="5000"/>
              </w14:schemeClr>
            </w14:solidFill>
          </w14:textFill>
        </w:rPr>
      </w:pPr>
    </w:p>
    <w:p>
      <w:pPr>
        <w:spacing w:line="360" w:lineRule="auto"/>
        <w:ind w:right="-334" w:rightChars="-159"/>
        <w:rPr>
          <w:rFonts w:ascii="宋体" w:cs="宋体"/>
          <w:b/>
          <w:bCs/>
          <w:color w:val="0D0D0D" w:themeColor="text1" w:themeTint="F2"/>
          <w:sz w:val="44"/>
          <w:szCs w:val="44"/>
          <w:highlight w:val="none"/>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44"/>
          <w:szCs w:val="44"/>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44"/>
          <w:szCs w:val="44"/>
          <w:highlight w:val="none"/>
          <w14:textFill>
            <w14:solidFill>
              <w14:schemeClr w14:val="tx1">
                <w14:lumMod w14:val="95000"/>
                <w14:lumOff w14:val="5000"/>
              </w14:schemeClr>
            </w14:solidFill>
          </w14:textFill>
        </w:rPr>
        <w:t>资格审查文件</w:t>
      </w:r>
      <w:r>
        <w:rPr>
          <w:rFonts w:ascii="宋体" w:hAnsi="宋体" w:cs="宋体"/>
          <w:b/>
          <w:bCs/>
          <w:color w:val="0D0D0D" w:themeColor="text1" w:themeTint="F2"/>
          <w:sz w:val="44"/>
          <w:szCs w:val="44"/>
          <w:highlight w:val="none"/>
          <w14:textFill>
            <w14:solidFill>
              <w14:schemeClr w14:val="tx1">
                <w14:lumMod w14:val="95000"/>
                <w14:lumOff w14:val="5000"/>
              </w14:schemeClr>
            </w14:solidFill>
          </w14:textFill>
        </w:rPr>
        <w:t>/</w:t>
      </w:r>
      <w:r>
        <w:rPr>
          <w:rFonts w:hint="eastAsia" w:ascii="宋体" w:hAnsi="宋体" w:cs="宋体"/>
          <w:b/>
          <w:bCs/>
          <w:color w:val="0D0D0D" w:themeColor="text1" w:themeTint="F2"/>
          <w:sz w:val="44"/>
          <w:szCs w:val="44"/>
          <w:highlight w:val="none"/>
          <w14:textFill>
            <w14:solidFill>
              <w14:schemeClr w14:val="tx1">
                <w14:lumMod w14:val="95000"/>
                <w14:lumOff w14:val="5000"/>
              </w14:schemeClr>
            </w14:solidFill>
          </w14:textFill>
        </w:rPr>
        <w:t>价格标文件</w:t>
      </w:r>
    </w:p>
    <w:p>
      <w:pPr>
        <w:spacing w:line="360" w:lineRule="auto"/>
        <w:ind w:right="-334" w:rightChars="-159"/>
        <w:jc w:val="center"/>
        <w:rPr>
          <w:rFonts w:ascii="宋体" w:cs="宋体"/>
          <w:b/>
          <w:bCs/>
          <w:color w:val="0D0D0D" w:themeColor="text1" w:themeTint="F2"/>
          <w:sz w:val="44"/>
          <w:szCs w:val="44"/>
          <w:highlight w:val="none"/>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44"/>
          <w:szCs w:val="44"/>
          <w:highlight w:val="none"/>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44"/>
          <w:szCs w:val="44"/>
          <w:highlight w:val="none"/>
          <w14:textFill>
            <w14:solidFill>
              <w14:schemeClr w14:val="tx1">
                <w14:lumMod w14:val="95000"/>
                <w14:lumOff w14:val="5000"/>
              </w14:schemeClr>
            </w14:solidFill>
          </w14:textFill>
        </w:rPr>
      </w:pPr>
    </w:p>
    <w:p>
      <w:pPr>
        <w:spacing w:line="360" w:lineRule="auto"/>
        <w:ind w:right="-334" w:rightChars="-159"/>
        <w:jc w:val="center"/>
        <w:rPr>
          <w:rFonts w:ascii="宋体" w:cs="宋体"/>
          <w:b/>
          <w:bCs/>
          <w:color w:val="0D0D0D" w:themeColor="text1" w:themeTint="F2"/>
          <w:sz w:val="84"/>
          <w:szCs w:val="84"/>
          <w:highlight w:val="none"/>
          <w14:textFill>
            <w14:solidFill>
              <w14:schemeClr w14:val="tx1">
                <w14:lumMod w14:val="95000"/>
                <w14:lumOff w14:val="5000"/>
              </w14:schemeClr>
            </w14:solidFill>
          </w14:textFill>
        </w:rPr>
      </w:pPr>
    </w:p>
    <w:p>
      <w:pPr>
        <w:spacing w:line="360" w:lineRule="auto"/>
        <w:ind w:right="-334" w:rightChars="-159" w:firstLine="630" w:firstLineChars="196"/>
        <w:rPr>
          <w:rFonts w:ascii="宋体" w:cs="宋体"/>
          <w:b/>
          <w:bCs/>
          <w:color w:val="0D0D0D" w:themeColor="text1" w:themeTint="F2"/>
          <w:sz w:val="32"/>
          <w:szCs w:val="32"/>
          <w:highlight w:val="none"/>
          <w:u w:val="singl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投标人（盖章）：</w:t>
      </w:r>
    </w:p>
    <w:p>
      <w:pPr>
        <w:spacing w:line="360" w:lineRule="auto"/>
        <w:ind w:right="-334" w:rightChars="-159" w:firstLine="630" w:firstLineChars="196"/>
        <w:rPr>
          <w:rFonts w:ascii="宋体" w:cs="宋体"/>
          <w:b/>
          <w:bCs/>
          <w:color w:val="0D0D0D" w:themeColor="text1" w:themeTint="F2"/>
          <w:sz w:val="32"/>
          <w:szCs w:val="32"/>
          <w:highlight w:val="none"/>
          <w:u w:val="single"/>
          <w14:textFill>
            <w14:solidFill>
              <w14:schemeClr w14:val="tx1">
                <w14:lumMod w14:val="95000"/>
                <w14:lumOff w14:val="5000"/>
              </w14:schemeClr>
            </w14:solidFill>
          </w14:textFill>
        </w:rPr>
      </w:pPr>
    </w:p>
    <w:p>
      <w:pPr>
        <w:spacing w:line="360" w:lineRule="auto"/>
        <w:ind w:right="-334" w:rightChars="-159" w:firstLine="630" w:firstLineChars="196"/>
        <w:rPr>
          <w:rFonts w:ascii="宋体" w:cs="宋体"/>
          <w:b/>
          <w:bCs/>
          <w:color w:val="0D0D0D" w:themeColor="text1" w:themeTint="F2"/>
          <w:sz w:val="32"/>
          <w:szCs w:val="32"/>
          <w:highlight w:val="none"/>
          <w:u w:val="singl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法定代表人或委托代理人（签字或盖章）：</w:t>
      </w:r>
    </w:p>
    <w:p>
      <w:pPr>
        <w:spacing w:line="360" w:lineRule="auto"/>
        <w:ind w:right="-334" w:rightChars="-159" w:firstLine="630" w:firstLineChars="196"/>
        <w:rPr>
          <w:rFonts w:ascii="宋体" w:cs="宋体"/>
          <w:b/>
          <w:bCs/>
          <w:color w:val="0D0D0D" w:themeColor="text1" w:themeTint="F2"/>
          <w:sz w:val="32"/>
          <w:szCs w:val="32"/>
          <w:highlight w:val="none"/>
          <w:u w:val="single"/>
          <w14:textFill>
            <w14:solidFill>
              <w14:schemeClr w14:val="tx1">
                <w14:lumMod w14:val="95000"/>
                <w14:lumOff w14:val="5000"/>
              </w14:schemeClr>
            </w14:solidFill>
          </w14:textFill>
        </w:rPr>
      </w:pPr>
    </w:p>
    <w:p>
      <w:pPr>
        <w:spacing w:line="360" w:lineRule="auto"/>
        <w:ind w:right="-334" w:rightChars="-159" w:firstLine="626" w:firstLineChars="195"/>
        <w:rPr>
          <w:rFonts w:ascii="宋体" w:cs="宋体"/>
          <w:b/>
          <w:bCs/>
          <w:color w:val="0D0D0D" w:themeColor="text1" w:themeTint="F2"/>
          <w:sz w:val="32"/>
          <w:szCs w:val="32"/>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日期：年月日</w:t>
      </w:r>
    </w:p>
    <w:p>
      <w:pPr>
        <w:spacing w:line="360" w:lineRule="auto"/>
        <w:ind w:right="-334" w:rightChars="-159"/>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pStyle w:val="2"/>
        <w:jc w:val="center"/>
        <w:rPr>
          <w:rFonts w:ascii="宋体" w:cs="宋体"/>
          <w:color w:val="0D0D0D" w:themeColor="text1" w:themeTint="F2"/>
          <w:highlight w:val="none"/>
          <w14:textFill>
            <w14:solidFill>
              <w14:schemeClr w14:val="tx1">
                <w14:lumMod w14:val="95000"/>
                <w14:lumOff w14:val="5000"/>
              </w14:schemeClr>
            </w14:solidFill>
          </w14:textFill>
        </w:rPr>
      </w:pPr>
      <w:bookmarkStart w:id="28" w:name="_Toc329181719"/>
      <w:bookmarkStart w:id="29" w:name="_Toc329181721"/>
      <w:r>
        <w:rPr>
          <w:rFonts w:hint="eastAsia" w:ascii="宋体" w:hAnsi="宋体" w:cs="宋体"/>
          <w:color w:val="0D0D0D" w:themeColor="text1" w:themeTint="F2"/>
          <w:highlight w:val="none"/>
          <w14:textFill>
            <w14:solidFill>
              <w14:schemeClr w14:val="tx1">
                <w14:lumMod w14:val="95000"/>
                <w14:lumOff w14:val="5000"/>
              </w14:schemeClr>
            </w14:solidFill>
          </w14:textFill>
        </w:rPr>
        <w:t>一、法定代表人身份证明书</w:t>
      </w:r>
      <w:bookmarkEnd w:id="28"/>
    </w:p>
    <w:p>
      <w:pPr>
        <w:spacing w:line="5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投标人单位名称：</w:t>
      </w:r>
    </w:p>
    <w:p>
      <w:pPr>
        <w:spacing w:line="5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投标人单位地址：</w:t>
      </w:r>
    </w:p>
    <w:p>
      <w:pPr>
        <w:spacing w:line="5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姓名：性别：年龄：职务：</w:t>
      </w:r>
    </w:p>
    <w:p>
      <w:pPr>
        <w:spacing w:line="5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系</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______________</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（投标人单位名称）的法定代表人。</w:t>
      </w:r>
    </w:p>
    <w:p>
      <w:pPr>
        <w:spacing w:line="5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特此证明。</w:t>
      </w:r>
    </w:p>
    <w:p>
      <w:pPr>
        <w:spacing w:line="5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投标人（盖单位章）：</w:t>
      </w:r>
    </w:p>
    <w:p>
      <w:pPr>
        <w:spacing w:line="5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52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日期：年月日</w:t>
      </w:r>
    </w:p>
    <w:p>
      <w:pPr>
        <w:pStyle w:val="5"/>
        <w:spacing w:line="480" w:lineRule="exact"/>
        <w:ind w:firstLine="0"/>
        <w:jc w:val="center"/>
        <w:rPr>
          <w:rFonts w:ascii="宋体" w:cs="宋体"/>
          <w:b/>
          <w:bCs/>
          <w:color w:val="0D0D0D" w:themeColor="text1" w:themeTint="F2"/>
          <w:sz w:val="30"/>
          <w:szCs w:val="30"/>
          <w:highlight w:val="none"/>
          <w14:textFill>
            <w14:solidFill>
              <w14:schemeClr w14:val="tx1">
                <w14:lumMod w14:val="95000"/>
                <w14:lumOff w14:val="5000"/>
              </w14:schemeClr>
            </w14:solidFill>
          </w14:textFill>
        </w:rPr>
      </w:pPr>
    </w:p>
    <w:p>
      <w:pPr>
        <w:pStyle w:val="2"/>
        <w:jc w:val="center"/>
        <w:rPr>
          <w:rFonts w:ascii="宋体" w:cs="宋体"/>
          <w:color w:val="0D0D0D" w:themeColor="text1" w:themeTint="F2"/>
          <w:highlight w:val="none"/>
          <w14:textFill>
            <w14:solidFill>
              <w14:schemeClr w14:val="tx1">
                <w14:lumMod w14:val="95000"/>
                <w14:lumOff w14:val="5000"/>
              </w14:schemeClr>
            </w14:solidFill>
          </w14:textFill>
        </w:rPr>
      </w:pPr>
      <w:bookmarkStart w:id="30" w:name="_Toc329181720"/>
      <w:r>
        <w:rPr>
          <w:rFonts w:hint="eastAsia" w:ascii="宋体" w:hAnsi="宋体" w:cs="宋体"/>
          <w:color w:val="0D0D0D" w:themeColor="text1" w:themeTint="F2"/>
          <w:highlight w:val="none"/>
          <w14:textFill>
            <w14:solidFill>
              <w14:schemeClr w14:val="tx1">
                <w14:lumMod w14:val="95000"/>
                <w14:lumOff w14:val="5000"/>
              </w14:schemeClr>
            </w14:solidFill>
          </w14:textFill>
        </w:rPr>
        <w:t>二、授权委托书</w:t>
      </w:r>
      <w:bookmarkEnd w:id="30"/>
    </w:p>
    <w:p>
      <w:pPr>
        <w:spacing w:line="500" w:lineRule="exact"/>
        <w:ind w:firstLine="573"/>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本人</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_________(</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姓名</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系</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___________________(</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投标人单位名称</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的法定代表人，现委托</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_____________(</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姓名</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（身份证号：）为我方代理人。代理人根据授权，以我方名义签署、澄清、说明、补正、递交、撤回、修改（项目名称）投标文件，签订合同和处理有关事宜，其法律后果由我方承担。</w:t>
      </w:r>
    </w:p>
    <w:p>
      <w:pPr>
        <w:spacing w:line="500" w:lineRule="exact"/>
        <w:ind w:firstLine="573"/>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委托期限：</w:t>
      </w:r>
    </w:p>
    <w:p>
      <w:pPr>
        <w:spacing w:line="500" w:lineRule="exact"/>
        <w:ind w:firstLine="573"/>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代理人无转委托权。</w:t>
      </w:r>
    </w:p>
    <w:p>
      <w:pPr>
        <w:spacing w:line="500" w:lineRule="exact"/>
        <w:ind w:firstLine="573"/>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代理人：性别：年龄：</w:t>
      </w:r>
    </w:p>
    <w:p>
      <w:pPr>
        <w:spacing w:line="500" w:lineRule="exact"/>
        <w:ind w:firstLine="573"/>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代理人单位：部门：职务：</w:t>
      </w:r>
    </w:p>
    <w:p>
      <w:pPr>
        <w:spacing w:line="500" w:lineRule="exact"/>
        <w:ind w:firstLine="573"/>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投标人（盖单位章）：</w:t>
      </w:r>
    </w:p>
    <w:p>
      <w:pPr>
        <w:spacing w:line="500" w:lineRule="exact"/>
        <w:ind w:firstLine="573"/>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法人代表人（签字或印章）：</w:t>
      </w:r>
    </w:p>
    <w:p>
      <w:pPr>
        <w:spacing w:line="500" w:lineRule="exact"/>
        <w:ind w:firstLine="573"/>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日期：</w:t>
      </w:r>
    </w:p>
    <w:p>
      <w:pPr>
        <w:spacing w:line="500" w:lineRule="exact"/>
        <w:ind w:firstLine="573"/>
        <w:rPr>
          <w:rFonts w:ascii="宋体" w:hAnsi="宋体" w:cs="宋体"/>
          <w:color w:val="0D0D0D" w:themeColor="text1" w:themeTint="F2"/>
          <w:sz w:val="24"/>
          <w:szCs w:val="24"/>
          <w:highlight w:val="none"/>
          <w14:textFill>
            <w14:solidFill>
              <w14:schemeClr w14:val="tx1">
                <w14:lumMod w14:val="95000"/>
                <w14:lumOff w14:val="5000"/>
              </w14:schemeClr>
            </w14:solidFill>
          </w14:textFill>
        </w:rPr>
      </w:pPr>
    </w:p>
    <w:bookmarkEnd w:id="29"/>
    <w:p>
      <w:pPr>
        <w:pStyle w:val="2"/>
        <w:jc w:val="center"/>
        <w:rPr>
          <w:rFonts w:ascii="宋体" w:cs="宋体"/>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highlight w:val="none"/>
          <w14:textFill>
            <w14:solidFill>
              <w14:schemeClr w14:val="tx1">
                <w14:lumMod w14:val="95000"/>
                <w14:lumOff w14:val="5000"/>
              </w14:schemeClr>
            </w14:solidFill>
          </w14:textFill>
        </w:rPr>
        <w:t>三、投标函</w:t>
      </w:r>
    </w:p>
    <w:p>
      <w:pPr>
        <w:spacing w:line="460" w:lineRule="exact"/>
        <w:rPr>
          <w:rFonts w:ascii="宋体" w:cs="宋体"/>
          <w:color w:val="0D0D0D" w:themeColor="text1" w:themeTint="F2"/>
          <w:sz w:val="24"/>
          <w:szCs w:val="24"/>
          <w:highlight w:val="none"/>
          <w:u w:val="singl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致（招标单位名称）：</w:t>
      </w:r>
    </w:p>
    <w:p>
      <w:pPr>
        <w:spacing w:line="460" w:lineRule="exact"/>
        <w:ind w:left="1"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根据贵方采购的招标文件，授权代表（</w:t>
      </w:r>
      <w:r>
        <w:rPr>
          <w:rFonts w:hint="eastAsia" w:ascii="宋体" w:hAnsi="宋体" w:cs="宋体"/>
          <w:color w:val="0D0D0D" w:themeColor="text1" w:themeTint="F2"/>
          <w:sz w:val="24"/>
          <w:szCs w:val="24"/>
          <w:highlight w:val="none"/>
          <w:u w:val="single"/>
          <w14:textFill>
            <w14:solidFill>
              <w14:schemeClr w14:val="tx1">
                <w14:lumMod w14:val="95000"/>
                <w14:lumOff w14:val="5000"/>
              </w14:schemeClr>
            </w14:solidFill>
          </w14:textFill>
        </w:rPr>
        <w:t>姓名、职务、</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）经正式授权并代表投标人（</w:t>
      </w:r>
      <w:r>
        <w:rPr>
          <w:rFonts w:hint="eastAsia" w:ascii="宋体" w:hAnsi="宋体" w:cs="宋体"/>
          <w:color w:val="0D0D0D" w:themeColor="text1" w:themeTint="F2"/>
          <w:sz w:val="24"/>
          <w:szCs w:val="24"/>
          <w:highlight w:val="none"/>
          <w:u w:val="single"/>
          <w14:textFill>
            <w14:solidFill>
              <w14:schemeClr w14:val="tx1">
                <w14:lumMod w14:val="95000"/>
                <w14:lumOff w14:val="5000"/>
              </w14:schemeClr>
            </w14:solidFill>
          </w14:textFill>
        </w:rPr>
        <w:t>投标人名称、地址</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）提交投标文件正本一份及副本贰份。</w:t>
      </w:r>
    </w:p>
    <w:p>
      <w:pPr>
        <w:spacing w:line="460" w:lineRule="exact"/>
        <w:ind w:firstLine="48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据此函，我方宣布同意如下：</w:t>
      </w:r>
    </w:p>
    <w:p>
      <w:pPr>
        <w:spacing w:line="360" w:lineRule="auto"/>
        <w:ind w:firstLine="480" w:firstLineChars="200"/>
        <w:rPr>
          <w:rFonts w:ascii="宋体" w:hAnsi="宋体"/>
          <w:color w:val="0D0D0D" w:themeColor="text1" w:themeTint="F2"/>
          <w:sz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、根据已收到的：</w:t>
      </w:r>
      <w:r>
        <w:rPr>
          <w:rFonts w:hint="eastAsia" w:ascii="宋体" w:hAnsi="宋体" w:cs="宋体"/>
          <w:color w:val="0D0D0D" w:themeColor="text1" w:themeTint="F2"/>
          <w:sz w:val="24"/>
          <w:szCs w:val="24"/>
          <w:highlight w:val="none"/>
          <w:u w:val="single"/>
          <w14:textFill>
            <w14:solidFill>
              <w14:schemeClr w14:val="tx1">
                <w14:lumMod w14:val="95000"/>
                <w14:lumOff w14:val="5000"/>
              </w14:schemeClr>
            </w14:solidFill>
          </w14:textFill>
        </w:rPr>
        <w:t>　　　</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招标文件（含答疑），我单位经研究招标文件后，</w:t>
      </w:r>
      <w:r>
        <w:rPr>
          <w:rFonts w:hint="eastAsia" w:ascii="宋体" w:hAnsi="宋体"/>
          <w:color w:val="0D0D0D" w:themeColor="text1" w:themeTint="F2"/>
          <w:sz w:val="24"/>
          <w:highlight w:val="none"/>
          <w14:textFill>
            <w14:solidFill>
              <w14:schemeClr w14:val="tx1">
                <w14:lumMod w14:val="95000"/>
                <w14:lumOff w14:val="5000"/>
              </w14:schemeClr>
            </w14:solidFill>
          </w14:textFill>
        </w:rPr>
        <w:t>我方愿以</w:t>
      </w:r>
      <w:r>
        <w:rPr>
          <w:rFonts w:hint="eastAsia" w:ascii="宋体" w:hAnsi="宋体"/>
          <w:b/>
          <w:color w:val="0D0D0D" w:themeColor="text1" w:themeTint="F2"/>
          <w:sz w:val="24"/>
          <w:highlight w:val="none"/>
          <w14:textFill>
            <w14:solidFill>
              <w14:schemeClr w14:val="tx1">
                <w14:lumMod w14:val="95000"/>
                <w14:lumOff w14:val="5000"/>
              </w14:schemeClr>
            </w14:solidFill>
          </w14:textFill>
        </w:rPr>
        <w:t>人民币</w:t>
      </w:r>
      <w:r>
        <w:rPr>
          <w:rFonts w:hint="eastAsia" w:ascii="宋体" w:hAnsi="宋体"/>
          <w:b/>
          <w:color w:val="0D0D0D" w:themeColor="text1" w:themeTint="F2"/>
          <w:sz w:val="24"/>
          <w:highlight w:val="none"/>
          <w:u w:val="single"/>
          <w14:textFill>
            <w14:solidFill>
              <w14:schemeClr w14:val="tx1">
                <w14:lumMod w14:val="95000"/>
                <w14:lumOff w14:val="5000"/>
              </w14:schemeClr>
            </w14:solidFill>
          </w14:textFill>
        </w:rPr>
        <w:t>　　　　　　　　　　</w:t>
      </w:r>
      <w:r>
        <w:rPr>
          <w:rFonts w:hint="eastAsia" w:ascii="宋体" w:hAnsi="宋体"/>
          <w:b/>
          <w:color w:val="0D0D0D" w:themeColor="text1" w:themeTint="F2"/>
          <w:sz w:val="24"/>
          <w:highlight w:val="none"/>
          <w14:textFill>
            <w14:solidFill>
              <w14:schemeClr w14:val="tx1">
                <w14:lumMod w14:val="95000"/>
                <w14:lumOff w14:val="5000"/>
              </w14:schemeClr>
            </w14:solidFill>
          </w14:textFill>
        </w:rPr>
        <w:t>元的投标总价（具体详见明细报价一览表）的</w:t>
      </w:r>
      <w:r>
        <w:rPr>
          <w:rFonts w:hint="eastAsia" w:ascii="宋体" w:hAnsi="宋体"/>
          <w:color w:val="0D0D0D" w:themeColor="text1" w:themeTint="F2"/>
          <w:sz w:val="24"/>
          <w:highlight w:val="none"/>
          <w14:textFill>
            <w14:solidFill>
              <w14:schemeClr w14:val="tx1">
                <w14:lumMod w14:val="95000"/>
                <w14:lumOff w14:val="5000"/>
              </w14:schemeClr>
            </w14:solidFill>
          </w14:textFill>
        </w:rPr>
        <w:t>完成该项目。</w:t>
      </w:r>
    </w:p>
    <w:p>
      <w:pPr>
        <w:spacing w:line="360" w:lineRule="auto"/>
        <w:ind w:firstLine="480" w:firstLineChars="200"/>
        <w:rPr>
          <w:rFonts w:ascii="宋体" w:hAnsi="宋体"/>
          <w:color w:val="0D0D0D" w:themeColor="text1" w:themeTint="F2"/>
          <w:sz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、招标响应人已详细审查全部招标文件，包括有关澄清和补充说明（如果有的话）。我们完全理解并同意放弃对这方面有不明及误解的权力。</w:t>
      </w:r>
    </w:p>
    <w:p>
      <w:pPr>
        <w:spacing w:line="46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们同意在从规定的开标之日起六十天为投标文件有效期内严格遵守本投标书的各项承诺。在此期限届满之前，本投标书始终将对我方具有约束力，并随时接受中标。如果中标，本次招标文件和本投标文件（含承诺书）将作为买卖合同的附件。</w:t>
      </w:r>
    </w:p>
    <w:p>
      <w:pPr>
        <w:spacing w:line="46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、我方愿意履行自己在投标文件中的全部承诺和责任，我方愿意遵守招标文件中对投标者的所有规定。</w:t>
      </w:r>
    </w:p>
    <w:p>
      <w:pPr>
        <w:spacing w:line="46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、我方愿意向招标人提供任何与本次招标文件有关的其他资料。</w:t>
      </w:r>
    </w:p>
    <w:p>
      <w:pPr>
        <w:spacing w:line="46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6</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、我方完全理解招标人有保留在授标之前任何时候接受或拒绝任何投标，以及宣布招标程序无效或拒绝所有投标的权力。我方完全理解招标人不向未中标人解释未中标理由的义务。</w:t>
      </w:r>
    </w:p>
    <w:p>
      <w:pPr>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、我们出具金额为人民币</w:t>
      </w:r>
      <w:r>
        <w:rPr>
          <w:rFonts w:hint="eastAsia" w:ascii="宋体" w:hAnsi="宋体" w:cs="宋体"/>
          <w:color w:val="0D0D0D" w:themeColor="text1" w:themeTint="F2"/>
          <w:sz w:val="24"/>
          <w:szCs w:val="24"/>
          <w:highlight w:val="none"/>
          <w:u w:val="single"/>
          <w:lang w:val="en-US" w:eastAsia="zh-CN"/>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u w:val="single"/>
          <w:lang w:val="en-US" w:eastAsia="zh-CN"/>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highlight w:val="none"/>
          <w:u w:val="single"/>
          <w14:textFill>
            <w14:solidFill>
              <w14:schemeClr w14:val="tx1">
                <w14:lumMod w14:val="95000"/>
                <w14:lumOff w14:val="5000"/>
              </w14:schemeClr>
            </w14:solidFill>
          </w14:textFill>
        </w:rPr>
        <w:t>00</w:t>
      </w:r>
      <w:r>
        <w:rPr>
          <w:rFonts w:hint="eastAsia" w:ascii="宋体" w:hAnsi="宋体" w:cs="宋体"/>
          <w:color w:val="0D0D0D" w:themeColor="text1" w:themeTint="F2"/>
          <w:sz w:val="24"/>
          <w:szCs w:val="24"/>
          <w:highlight w:val="none"/>
          <w:u w:val="none"/>
          <w14:textFill>
            <w14:solidFill>
              <w14:schemeClr w14:val="tx1">
                <w14:lumMod w14:val="95000"/>
                <w14:lumOff w14:val="5000"/>
              </w14:schemeClr>
            </w14:solidFill>
          </w14:textFill>
        </w:rPr>
        <w:t>元</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整的投标保证金。如果我们在本投标文件有效期内撤回投标文件；或在接到中标通知书后的</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天内未能或拒绝签订合同协议书；出现弄虚作假以及违反招投标法规定的情况；或未能在规定时间内提交履约保证金，招标人有权没收投标担保金，另选中标单位。</w:t>
      </w:r>
    </w:p>
    <w:p>
      <w:pPr>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8</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、投标人同意提供按照招标人可能要求的与其评审有关的一切数据或资料，同时也理解，招标人及招标代理人不负担我们的任何投标费用。</w:t>
      </w:r>
    </w:p>
    <w:p>
      <w:pPr>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9</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、投标人确认本招标文件限定的投标时间不影响我们的正常投标。</w:t>
      </w:r>
    </w:p>
    <w:p>
      <w:pPr>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10</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、一旦我方成交，我方将按照相关的法律法规和签订的合同来履行自己的责任和义务。除非另外达成协议并生效，你方的招标文件和中标通知书以及本投标文件将构成约束我们双方的合同。</w:t>
      </w:r>
    </w:p>
    <w:p>
      <w:pPr>
        <w:spacing w:line="480" w:lineRule="exact"/>
        <w:ind w:firstLine="480" w:firstLineChars="200"/>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、在整个招标过程中，我方若有违规行为，贵方可按相关的法律法规给予惩罚。</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投标单位：（盖章）</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单位地址：</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法定代表人（签名或印鉴）：</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授权委托代理人（签名或印鉴）：</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电话：</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传真：</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开户银行名称：</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银行帐号：</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开户行地址：</w:t>
      </w:r>
    </w:p>
    <w:p>
      <w:pPr>
        <w:spacing w:line="480" w:lineRule="exact"/>
        <w:rPr>
          <w:rFonts w:ascii="宋体" w:cs="宋体"/>
          <w:color w:val="0D0D0D" w:themeColor="text1" w:themeTint="F2"/>
          <w:sz w:val="24"/>
          <w:szCs w:val="24"/>
          <w:highlight w:val="none"/>
          <w14:textFill>
            <w14:solidFill>
              <w14:schemeClr w14:val="tx1">
                <w14:lumMod w14:val="95000"/>
                <w14:lumOff w14:val="5000"/>
              </w14:schemeClr>
            </w14:solidFill>
          </w14:textFill>
        </w:rPr>
      </w:pPr>
    </w:p>
    <w:p>
      <w:pPr>
        <w:spacing w:line="480" w:lineRule="exact"/>
        <w:jc w:val="center"/>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 xml:space="preserve">                                                年   月   日</w:t>
      </w: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pStyle w:val="2"/>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520" w:lineRule="exact"/>
        <w:ind w:firstLine="575" w:firstLineChars="179"/>
        <w:jc w:val="center"/>
        <w:rPr>
          <w:rFonts w:asci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480" w:lineRule="exact"/>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lang w:val="en-US" w:eastAsia="zh-CN"/>
        </w:rPr>
        <w:t>四</w:t>
      </w:r>
      <w:r>
        <w:rPr>
          <w:rFonts w:hint="eastAsia" w:asciiTheme="majorEastAsia" w:hAnsiTheme="majorEastAsia" w:eastAsiaTheme="majorEastAsia" w:cstheme="majorEastAsia"/>
          <w:b/>
          <w:sz w:val="32"/>
          <w:szCs w:val="32"/>
        </w:rPr>
        <w:t>、无不良行为记录承诺书</w:t>
      </w:r>
    </w:p>
    <w:p>
      <w:pPr>
        <w:pStyle w:val="9"/>
        <w:spacing w:line="360" w:lineRule="auto"/>
        <w:ind w:left="0" w:firstLine="48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的法定代表人，现承诺我单位在全国范围内没有被暂停投标并在公示期内，也没有不良行为记录（俗称黑名单）且在公示期内，没有被列入失信被执行人，没有被列入重大税收违法案件名单，没有被列入政府采购违法失信行为记录名单。</w:t>
      </w:r>
    </w:p>
    <w:p>
      <w:pPr>
        <w:pStyle w:val="9"/>
        <w:spacing w:line="360" w:lineRule="auto"/>
        <w:ind w:left="0" w:firstLine="480"/>
        <w:rPr>
          <w:rFonts w:hint="eastAsia" w:ascii="方正仿宋_GBK" w:hAnsi="方正仿宋_GBK" w:eastAsia="方正仿宋_GBK" w:cs="方正仿宋_GBK"/>
          <w:sz w:val="28"/>
          <w:szCs w:val="28"/>
        </w:rPr>
      </w:pPr>
    </w:p>
    <w:p>
      <w:pPr>
        <w:pStyle w:val="9"/>
        <w:spacing w:line="360" w:lineRule="auto"/>
        <w:ind w:left="0" w:firstLine="480"/>
        <w:rPr>
          <w:rFonts w:hint="eastAsia" w:ascii="方正仿宋_GBK" w:hAnsi="方正仿宋_GBK" w:eastAsia="方正仿宋_GBK" w:cs="方正仿宋_GBK"/>
          <w:sz w:val="28"/>
          <w:szCs w:val="28"/>
        </w:rPr>
      </w:pPr>
    </w:p>
    <w:p>
      <w:pPr>
        <w:pStyle w:val="9"/>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如承诺虚假，本单位愿承担一切法律后果。</w:t>
      </w:r>
    </w:p>
    <w:p>
      <w:pPr>
        <w:pStyle w:val="9"/>
        <w:spacing w:line="360" w:lineRule="auto"/>
        <w:rPr>
          <w:rFonts w:hint="eastAsia" w:ascii="方正仿宋_GBK" w:hAnsi="方正仿宋_GBK" w:eastAsia="方正仿宋_GBK" w:cs="方正仿宋_GBK"/>
          <w:sz w:val="28"/>
          <w:szCs w:val="28"/>
        </w:rPr>
      </w:pPr>
    </w:p>
    <w:p>
      <w:pPr>
        <w:pStyle w:val="9"/>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特此承诺！</w:t>
      </w:r>
    </w:p>
    <w:p>
      <w:pPr>
        <w:pStyle w:val="9"/>
        <w:spacing w:line="360" w:lineRule="auto"/>
        <w:rPr>
          <w:rFonts w:hint="eastAsia" w:ascii="方正仿宋_GBK" w:hAnsi="方正仿宋_GBK" w:eastAsia="方正仿宋_GBK" w:cs="方正仿宋_GBK"/>
          <w:sz w:val="28"/>
          <w:szCs w:val="28"/>
        </w:rPr>
      </w:pPr>
    </w:p>
    <w:p>
      <w:pPr>
        <w:pStyle w:val="9"/>
        <w:spacing w:line="360" w:lineRule="auto"/>
        <w:rPr>
          <w:rFonts w:hint="eastAsia" w:ascii="方正仿宋_GBK" w:hAnsi="方正仿宋_GBK" w:eastAsia="方正仿宋_GBK" w:cs="方正仿宋_GBK"/>
          <w:sz w:val="28"/>
          <w:szCs w:val="28"/>
        </w:rPr>
      </w:pPr>
    </w:p>
    <w:p>
      <w:pPr>
        <w:pStyle w:val="9"/>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承诺单位（公章）：</w:t>
      </w:r>
    </w:p>
    <w:p>
      <w:pPr>
        <w:pStyle w:val="9"/>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法定代表人（签字）：</w:t>
      </w:r>
    </w:p>
    <w:p>
      <w:pPr>
        <w:pStyle w:val="9"/>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日期：   年 月 日</w:t>
      </w:r>
    </w:p>
    <w:p>
      <w:pPr>
        <w:spacing w:line="580" w:lineRule="exact"/>
        <w:jc w:val="center"/>
        <w:rPr>
          <w:rFonts w:hint="eastAsia" w:ascii="方正仿宋_GBK" w:hAnsi="方正仿宋_GBK" w:eastAsia="方正仿宋_GBK" w:cs="方正仿宋_GBK"/>
          <w:color w:val="000000"/>
          <w:sz w:val="28"/>
          <w:szCs w:val="28"/>
        </w:rPr>
      </w:pPr>
    </w:p>
    <w:p>
      <w:pPr>
        <w:spacing w:line="480" w:lineRule="exact"/>
        <w:jc w:val="center"/>
        <w:rPr>
          <w:rFonts w:hint="eastAsia" w:ascii="方正仿宋_GBK" w:hAnsi="方正仿宋_GBK" w:eastAsia="方正仿宋_GBK" w:cs="方正仿宋_GBK"/>
          <w:b/>
          <w:sz w:val="28"/>
          <w:szCs w:val="28"/>
        </w:rPr>
      </w:pPr>
      <w:r>
        <w:rPr>
          <w:rFonts w:ascii="方正仿宋_GBK" w:hAnsi="方正仿宋_GBK" w:eastAsia="方正仿宋_GBK" w:cs="方正仿宋_GBK"/>
          <w:sz w:val="28"/>
          <w:szCs w:val="28"/>
        </w:rPr>
        <w:br w:type="page"/>
      </w:r>
      <w:r>
        <w:rPr>
          <w:rFonts w:hint="eastAsia" w:asciiTheme="majorEastAsia" w:hAnsiTheme="majorEastAsia" w:eastAsiaTheme="majorEastAsia" w:cstheme="majorEastAsia"/>
          <w:b/>
          <w:sz w:val="32"/>
          <w:szCs w:val="32"/>
          <w:lang w:val="en-US" w:eastAsia="zh-CN"/>
        </w:rPr>
        <w:t>五</w:t>
      </w:r>
      <w:r>
        <w:rPr>
          <w:rFonts w:hint="eastAsia" w:asciiTheme="majorEastAsia" w:hAnsiTheme="majorEastAsia" w:eastAsiaTheme="majorEastAsia" w:cstheme="majorEastAsia"/>
          <w:b/>
          <w:sz w:val="32"/>
          <w:szCs w:val="32"/>
        </w:rPr>
        <w:t>、业绩证明</w:t>
      </w:r>
    </w:p>
    <w:p>
      <w:pPr>
        <w:spacing w:line="480" w:lineRule="exac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1、合同扫描件</w:t>
      </w:r>
    </w:p>
    <w:p>
      <w:pPr>
        <w:spacing w:line="480" w:lineRule="exac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2、发票扫描件</w:t>
      </w:r>
    </w:p>
    <w:p>
      <w:pPr>
        <w:spacing w:line="48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3、国家税务总局增值税发票查验平台真伪查询截图</w:t>
      </w:r>
    </w:p>
    <w:p>
      <w:pPr>
        <w:rPr>
          <w:rFonts w:ascii="宋体" w:cs="宋体"/>
          <w:b/>
          <w:bCs/>
          <w:color w:val="0D0D0D" w:themeColor="text1" w:themeTint="F2"/>
          <w:sz w:val="32"/>
          <w:szCs w:val="32"/>
          <w:highlight w:val="none"/>
          <w14:textFill>
            <w14:solidFill>
              <w14:schemeClr w14:val="tx1">
                <w14:lumMod w14:val="95000"/>
                <w14:lumOff w14:val="5000"/>
              </w14:schemeClr>
            </w14:solidFill>
          </w14:textFill>
        </w:rPr>
        <w:sectPr>
          <w:footerReference r:id="rId4" w:type="default"/>
          <w:pgSz w:w="11906" w:h="16838"/>
          <w:pgMar w:top="1440" w:right="1440" w:bottom="1440" w:left="1440" w:header="851" w:footer="992" w:gutter="0"/>
          <w:cols w:space="720" w:num="1"/>
          <w:docGrid w:type="lines" w:linePitch="312" w:charSpace="0"/>
        </w:sectPr>
      </w:pPr>
      <w:r>
        <w:rPr>
          <w:rFonts w:ascii="方正仿宋_GBK" w:hAnsi="方正仿宋_GBK" w:eastAsia="方正仿宋_GBK" w:cs="方正仿宋_GBK"/>
          <w:b/>
          <w:sz w:val="28"/>
          <w:szCs w:val="28"/>
        </w:rPr>
        <w:br w:type="page"/>
      </w:r>
    </w:p>
    <w:p>
      <w:pPr>
        <w:widowControl/>
        <w:spacing w:line="440" w:lineRule="exact"/>
        <w:ind w:firstLine="472" w:firstLineChars="147"/>
        <w:jc w:val="center"/>
        <w:rPr>
          <w:rFonts w:ascii="宋体" w:hAnsi="宋体" w:cs="宋体"/>
          <w:b/>
          <w:sz w:val="32"/>
          <w:szCs w:val="32"/>
          <w:highlight w:val="none"/>
        </w:rPr>
      </w:pPr>
      <w:r>
        <w:rPr>
          <w:rFonts w:hint="eastAsia" w:ascii="宋体" w:hAnsi="宋体"/>
          <w:b/>
          <w:sz w:val="32"/>
          <w:szCs w:val="32"/>
          <w:highlight w:val="none"/>
          <w:lang w:val="en-US" w:eastAsia="zh-CN"/>
        </w:rPr>
        <w:t>六</w:t>
      </w:r>
      <w:r>
        <w:rPr>
          <w:rFonts w:hint="eastAsia" w:ascii="宋体" w:hAnsi="宋体"/>
          <w:b/>
          <w:sz w:val="32"/>
          <w:szCs w:val="32"/>
          <w:highlight w:val="none"/>
        </w:rPr>
        <w:t>、明细</w:t>
      </w:r>
      <w:r>
        <w:rPr>
          <w:rFonts w:hint="eastAsia" w:ascii="宋体" w:hAnsi="宋体" w:cs="宋体"/>
          <w:b/>
          <w:sz w:val="32"/>
          <w:szCs w:val="32"/>
          <w:highlight w:val="none"/>
        </w:rPr>
        <w:t>报价一览表</w:t>
      </w:r>
    </w:p>
    <w:p>
      <w:pPr>
        <w:tabs>
          <w:tab w:val="left" w:pos="360"/>
          <w:tab w:val="left" w:pos="2255"/>
          <w:tab w:val="left" w:pos="6315"/>
        </w:tabs>
        <w:spacing w:line="360" w:lineRule="auto"/>
        <w:ind w:firstLine="11685" w:firstLineChars="4850"/>
        <w:rPr>
          <w:rFonts w:hint="eastAsia" w:ascii="方正仿宋_GBK" w:hAnsi="方正仿宋_GBK" w:eastAsia="方正仿宋_GBK" w:cs="方正仿宋_GBK"/>
          <w:b/>
          <w:color w:val="000000"/>
          <w:kern w:val="0"/>
          <w:sz w:val="28"/>
          <w:szCs w:val="28"/>
        </w:rPr>
      </w:pPr>
      <w:r>
        <w:rPr>
          <w:rFonts w:hint="eastAsia" w:ascii="Calibri" w:hAnsi="Calibri"/>
          <w:b/>
          <w:bCs/>
          <w:sz w:val="24"/>
          <w:highlight w:val="none"/>
        </w:rPr>
        <w:t>单位：（人民币）元</w:t>
      </w:r>
    </w:p>
    <w:p>
      <w:pPr>
        <w:widowControl/>
        <w:spacing w:line="375" w:lineRule="atLeas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南通市通州区水务有限公司：</w:t>
      </w:r>
    </w:p>
    <w:p>
      <w:pPr>
        <w:widowControl/>
        <w:spacing w:line="375" w:lineRule="atLeast"/>
        <w:ind w:firstLine="63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贵公司</w:t>
      </w:r>
      <w:r>
        <w:rPr>
          <w:rFonts w:hint="eastAsia" w:ascii="方正仿宋_GBK" w:hAnsi="方正仿宋_GBK" w:eastAsia="方正仿宋_GBK" w:cs="方正仿宋_GBK"/>
          <w:color w:val="000000"/>
          <w:kern w:val="0"/>
          <w:sz w:val="28"/>
          <w:szCs w:val="28"/>
          <w:lang w:val="en-US" w:eastAsia="zh-CN"/>
        </w:rPr>
        <w:t>泵站补氯装置采购安装项目招标文件</w:t>
      </w:r>
      <w:r>
        <w:rPr>
          <w:rFonts w:hint="eastAsia" w:ascii="方正仿宋_GBK" w:hAnsi="方正仿宋_GBK" w:eastAsia="方正仿宋_GBK" w:cs="方正仿宋_GBK"/>
          <w:color w:val="000000"/>
          <w:kern w:val="0"/>
          <w:sz w:val="28"/>
          <w:szCs w:val="28"/>
        </w:rPr>
        <w:t>本公司已认真研读，本单位接受</w:t>
      </w:r>
      <w:r>
        <w:rPr>
          <w:rFonts w:hint="eastAsia" w:ascii="方正仿宋_GBK" w:hAnsi="方正仿宋_GBK" w:eastAsia="方正仿宋_GBK" w:cs="方正仿宋_GBK"/>
          <w:color w:val="000000"/>
          <w:kern w:val="0"/>
          <w:sz w:val="28"/>
          <w:szCs w:val="28"/>
          <w:lang w:val="en-US" w:eastAsia="zh-CN"/>
        </w:rPr>
        <w:t>招标文件</w:t>
      </w:r>
      <w:r>
        <w:rPr>
          <w:rFonts w:hint="eastAsia" w:ascii="方正仿宋_GBK" w:hAnsi="方正仿宋_GBK" w:eastAsia="方正仿宋_GBK" w:cs="方正仿宋_GBK"/>
          <w:color w:val="000000"/>
          <w:kern w:val="0"/>
          <w:sz w:val="28"/>
          <w:szCs w:val="28"/>
        </w:rPr>
        <w:t>规定的所有条款，愿承接项目，具体报价如下：</w:t>
      </w:r>
    </w:p>
    <w:p>
      <w:pPr>
        <w:widowControl/>
        <w:spacing w:line="375" w:lineRule="atLeast"/>
        <w:ind w:firstLine="630"/>
        <w:rPr>
          <w:rFonts w:hint="eastAsia" w:ascii="方正仿宋_GBK" w:hAnsi="方正仿宋_GBK" w:eastAsia="方正仿宋_GBK" w:cs="方正仿宋_GBK"/>
          <w:color w:val="000000"/>
          <w:kern w:val="0"/>
          <w:sz w:val="28"/>
          <w:szCs w:val="28"/>
        </w:rPr>
      </w:pPr>
    </w:p>
    <w:tbl>
      <w:tblPr>
        <w:tblStyle w:val="20"/>
        <w:tblW w:w="14829" w:type="dxa"/>
        <w:jc w:val="center"/>
        <w:tblLayout w:type="fixed"/>
        <w:tblCellMar>
          <w:top w:w="0" w:type="dxa"/>
          <w:left w:w="0" w:type="dxa"/>
          <w:bottom w:w="0" w:type="dxa"/>
          <w:right w:w="0" w:type="dxa"/>
        </w:tblCellMar>
      </w:tblPr>
      <w:tblGrid>
        <w:gridCol w:w="588"/>
        <w:gridCol w:w="2314"/>
        <w:gridCol w:w="5550"/>
        <w:gridCol w:w="1701"/>
        <w:gridCol w:w="735"/>
        <w:gridCol w:w="793"/>
        <w:gridCol w:w="622"/>
        <w:gridCol w:w="915"/>
        <w:gridCol w:w="1611"/>
      </w:tblGrid>
      <w:tr>
        <w:tblPrEx>
          <w:tblCellMar>
            <w:top w:w="0" w:type="dxa"/>
            <w:left w:w="0" w:type="dxa"/>
            <w:bottom w:w="0" w:type="dxa"/>
            <w:right w:w="0" w:type="dxa"/>
          </w:tblCellMar>
        </w:tblPrEx>
        <w:trPr>
          <w:trHeight w:val="37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南通市通州区水务有限公司泵站补氯装置采购安装项目</w:t>
            </w:r>
            <w:r>
              <w:rPr>
                <w:rFonts w:hint="eastAsia" w:ascii="宋体" w:hAnsi="宋体" w:cs="宋体"/>
                <w:i w:val="0"/>
                <w:color w:val="000000"/>
                <w:kern w:val="0"/>
                <w:sz w:val="28"/>
                <w:szCs w:val="28"/>
                <w:u w:val="none"/>
                <w:lang w:val="en-US" w:eastAsia="zh-CN" w:bidi="ar"/>
              </w:rPr>
              <w:t>供货</w:t>
            </w:r>
            <w:r>
              <w:rPr>
                <w:rFonts w:hint="eastAsia" w:ascii="宋体" w:hAnsi="宋体" w:eastAsia="宋体" w:cs="宋体"/>
                <w:i w:val="0"/>
                <w:color w:val="000000"/>
                <w:kern w:val="0"/>
                <w:sz w:val="28"/>
                <w:szCs w:val="28"/>
                <w:u w:val="none"/>
                <w:lang w:val="en-US" w:eastAsia="zh-CN" w:bidi="ar"/>
              </w:rPr>
              <w:t>清单</w:t>
            </w:r>
          </w:p>
        </w:tc>
      </w:tr>
      <w:tr>
        <w:tblPrEx>
          <w:tblCellMar>
            <w:top w:w="0" w:type="dxa"/>
            <w:left w:w="0" w:type="dxa"/>
            <w:bottom w:w="0" w:type="dxa"/>
            <w:right w:w="0" w:type="dxa"/>
          </w:tblCellMar>
        </w:tblPrEx>
        <w:trPr>
          <w:trHeight w:val="28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一、五平泵站改造清单（日供水5万吨）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0.25立方PE桶，厚度不低于3mm</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户外保护罩</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PE桶保护装饰外罩,不锈钢304材质，厚度不低于1mm，带防护锁</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定制</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一体化补氯控制柜</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分别包含以下组件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计量泵柜体</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碳钢喷塑，板厚1.5mm，带玻璃视窗</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计量泵安装机架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铝合金型材或不锈钢型材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加注泵63L/h，6.5bar计量泵，带4-20mA控制功能</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普罗名特/格兰富/米顿罗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DN15安全阀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DN15背压阀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不锈钢耐腐压力表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DN15 </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阻尼器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Y型过滤器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管道、阀门及配件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计量泵吸入和投加，排空</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华亚/三厘/环琪</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扩展AO模块</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SB AQ01，配一进一出信号隔离器</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西门子</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动力线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VV 4*2.5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KVV 5*1.5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RVVP 2*2*1.0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加氯管</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 DN20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三德</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预留放空阀</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破路补路</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包含挖土敷设管路</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开挖尺寸深10cm，宽5cm</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带压开孔</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含投加点组件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安装辅材</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现场安装调试费</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0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上位机修改及PLC程序修改</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与原有平台兼容，在本地电脑及中控室电脑均可控制，可自动/手动切换，根据余氯设定值自动调节投加量</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二、三余泵站改造清单</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药桶基础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用红砖或水泥砖铺垫（非混泥土基础），包含人工。现有药桶箱保护外框防腐处理。</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三、九华泵站改造清单（日供水4万吨）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0.5立方PE桶加厚，厚度不低于3mm</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一体化补氯控制柜</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分别包含以下组件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安装在氯瓶间</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计量泵柜体</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碳钢喷塑，板厚1.5mm，带玻璃视窗</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计量泵安装机架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铝合金型材或不锈钢型材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加注泵63L/h，6.5bar计量泵，带4-20mA控制功能</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普罗名特/格兰富/米顿罗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DN15安全阀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DN15背压阀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不锈钢耐腐压力表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DN15 </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Y型过滤器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阻尼器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管道、阀门及配件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计量泵吸入和投加，排空</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华亚/三厘/环琪</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PLC模块</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SR20+AM06模块,，配一进一出信号隔离器，配控制箱</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西门子</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动力线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VV 4*2.5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KVV 5*1.5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RVVP 2*2*1.0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加氯管</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 DN20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三德</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预留放空阀</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带压开孔</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含投加点组件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安装辅材</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另含网线</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现场安装调试费</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上位机修改及PLC程序修改</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与原有平台兼容，在本地电脑及中控室电脑均可控制，可自动/手动切换，根据余氯设定值自动调节投加量</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14829"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四、二泵房改造清单（日供水9万吨）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w:t>
            </w: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PE桶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0.5立方PE桶加厚，厚度不低于3mm</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一体化补氯控制柜</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分别包含以下组件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安装在氯瓶间</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计量泵柜体</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碳钢喷塑，板厚1.5mm，带玻璃视窗</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计量泵安装机架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铝合金型材或不锈钢型材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国产优质</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70"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加注泵63L/h，6.5bar计量泵，带4-20mA控制功能</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普罗名特/格兰富/米顿罗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DN15安全阀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DN15背压阀</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不锈钢耐腐压力表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DN15 </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Y型过滤器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阻尼器</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DN20 PVC</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计量泵配套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管道、阀门及配件</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计量泵吸入和投加，排空</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华亚/三厘/环琪</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扩展AO模块</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AQ04模块，配一进一出信号隔离器</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西门子</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只</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动力线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VV 4*2.5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KVV 5*1.5</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信号线</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RVVP 2*2*1.0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加氯管</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PVC DN20</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三德</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预留放空阀</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破路补路</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包含挖土敷设管路</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sz w:val="24"/>
                <w:szCs w:val="24"/>
                <w:u w:val="none"/>
                <w:lang w:val="en-US" w:eastAsia="zh-CN"/>
              </w:rPr>
              <w:t>开挖尺寸深10cm，宽5cm</w:t>
            </w: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带压开孔</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含投加点组件</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10</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安装辅材</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另含网线</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现场安装调试费</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jc w:val="center"/>
        </w:trPr>
        <w:tc>
          <w:tcPr>
            <w:tcW w:w="5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3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上位机修改及PLC程序修改</w:t>
            </w:r>
          </w:p>
        </w:tc>
        <w:tc>
          <w:tcPr>
            <w:tcW w:w="55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与原有平台兼容，在本地电脑及中控室电脑均可控制，可自动/手动切换，根据余氯设定值自动调节投加量</w:t>
            </w: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85" w:hRule="atLeast"/>
          <w:jc w:val="center"/>
        </w:trPr>
        <w:tc>
          <w:tcPr>
            <w:tcW w:w="290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共计</w:t>
            </w:r>
          </w:p>
        </w:tc>
        <w:tc>
          <w:tcPr>
            <w:tcW w:w="55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6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widowControl/>
        <w:spacing w:line="375" w:lineRule="atLeast"/>
        <w:ind w:firstLine="630"/>
        <w:rPr>
          <w:rFonts w:hint="eastAsia" w:ascii="方正仿宋_GBK" w:hAnsi="方正仿宋_GBK" w:eastAsia="方正仿宋_GBK" w:cs="方正仿宋_GBK"/>
          <w:color w:val="000000"/>
          <w:kern w:val="0"/>
          <w:sz w:val="28"/>
          <w:szCs w:val="28"/>
        </w:rPr>
      </w:pPr>
    </w:p>
    <w:tbl>
      <w:tblPr>
        <w:tblStyle w:val="20"/>
        <w:tblW w:w="10911" w:type="dxa"/>
        <w:tblInd w:w="0" w:type="dxa"/>
        <w:tblLayout w:type="fixed"/>
        <w:tblCellMar>
          <w:top w:w="0" w:type="dxa"/>
          <w:left w:w="0" w:type="dxa"/>
          <w:bottom w:w="0" w:type="dxa"/>
          <w:right w:w="0" w:type="dxa"/>
        </w:tblCellMar>
      </w:tblPr>
      <w:tblGrid>
        <w:gridCol w:w="10911"/>
      </w:tblGrid>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1.以上数量仅供参考，</w:t>
            </w:r>
            <w:r>
              <w:rPr>
                <w:rFonts w:hint="eastAsia" w:ascii="宋体" w:hAnsi="宋体" w:cs="宋体"/>
                <w:i w:val="0"/>
                <w:color w:val="000000"/>
                <w:kern w:val="0"/>
                <w:sz w:val="22"/>
                <w:szCs w:val="22"/>
                <w:u w:val="none"/>
                <w:lang w:val="en-US" w:eastAsia="zh-CN" w:bidi="ar"/>
              </w:rPr>
              <w:t>招标人组织现场</w:t>
            </w:r>
            <w:r>
              <w:rPr>
                <w:rFonts w:hint="eastAsia" w:ascii="宋体" w:hAnsi="宋体" w:eastAsia="宋体" w:cs="宋体"/>
                <w:i w:val="0"/>
                <w:color w:val="000000"/>
                <w:kern w:val="0"/>
                <w:sz w:val="22"/>
                <w:szCs w:val="22"/>
                <w:u w:val="none"/>
                <w:lang w:val="en-US" w:eastAsia="zh-CN" w:bidi="ar"/>
              </w:rPr>
              <w:t>踏勘</w:t>
            </w:r>
            <w:r>
              <w:rPr>
                <w:rFonts w:hint="eastAsia" w:ascii="宋体" w:hAnsi="宋体" w:cs="宋体"/>
                <w:i w:val="0"/>
                <w:color w:val="000000"/>
                <w:kern w:val="0"/>
                <w:sz w:val="22"/>
                <w:szCs w:val="22"/>
                <w:u w:val="none"/>
                <w:lang w:val="en-US" w:eastAsia="zh-CN" w:bidi="ar"/>
              </w:rPr>
              <w:t>，投标人根据现场施工方案、项目需求确定数量并报价，</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投标人任何漏项、漏报、少报、错报所产生的后果，均由投标人承担责任</w:t>
            </w:r>
            <w:r>
              <w:rPr>
                <w:rFonts w:hint="eastAsia" w:ascii="宋体" w:hAnsi="宋体" w:cs="宋体"/>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宋体" w:hAnsi="宋体" w:cs="宋体"/>
                <w:i w:val="0"/>
                <w:color w:val="000000"/>
                <w:kern w:val="0"/>
                <w:sz w:val="22"/>
                <w:szCs w:val="22"/>
                <w:u w:val="none"/>
                <w:lang w:val="en-US" w:eastAsia="zh-CN" w:bidi="ar"/>
              </w:rPr>
              <w:t>中标后不予调整。</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2.所有线缆（含柜内）品牌均需为无锡江南，华美，远东。每根线缆两段均需有号码管。</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3.低压元件品牌为：施耐德、ABB、霍尼韦尔、西门子。</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4.端子排品牌为：菲尼克斯、魏德米勒、西门子。</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5.安装位置需符合甲方要求。线管、管材需符合甲方要求。</w:t>
            </w:r>
          </w:p>
        </w:tc>
      </w:tr>
      <w:tr>
        <w:tblPrEx>
          <w:tblCellMar>
            <w:top w:w="0" w:type="dxa"/>
            <w:left w:w="0" w:type="dxa"/>
            <w:bottom w:w="0" w:type="dxa"/>
            <w:right w:w="0" w:type="dxa"/>
          </w:tblCellMar>
        </w:tblPrEx>
        <w:trPr>
          <w:trHeight w:val="270" w:hRule="atLeast"/>
        </w:trPr>
        <w:tc>
          <w:tcPr>
            <w:tcW w:w="10911"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6.总价含所有辅材、原有软件技术对接费用。</w:t>
            </w:r>
          </w:p>
        </w:tc>
      </w:tr>
    </w:tbl>
    <w:p>
      <w:pPr>
        <w:widowControl/>
        <w:spacing w:line="375" w:lineRule="atLeast"/>
        <w:ind w:firstLine="630"/>
        <w:rPr>
          <w:rFonts w:hint="eastAsia"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color w:val="000000"/>
          <w:kern w:val="0"/>
          <w:sz w:val="28"/>
          <w:szCs w:val="28"/>
        </w:rPr>
        <w:t>投标金额（大写）：</w:t>
      </w:r>
      <w:r>
        <w:rPr>
          <w:rFonts w:hint="eastAsia" w:ascii="方正仿宋_GBK" w:hAnsi="方正仿宋_GBK" w:eastAsia="方正仿宋_GBK" w:cs="方正仿宋_GBK"/>
          <w:color w:val="000000"/>
          <w:kern w:val="0"/>
          <w:sz w:val="28"/>
          <w:szCs w:val="28"/>
          <w:u w:val="single"/>
        </w:rPr>
        <w:t xml:space="preserve">                        </w:t>
      </w:r>
    </w:p>
    <w:p>
      <w:pPr>
        <w:widowControl/>
        <w:spacing w:line="500" w:lineRule="exact"/>
        <w:jc w:val="left"/>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color w:val="000000"/>
          <w:kern w:val="0"/>
          <w:sz w:val="28"/>
          <w:szCs w:val="28"/>
        </w:rPr>
        <w:t>备注：</w:t>
      </w:r>
      <w:r>
        <w:rPr>
          <w:rFonts w:hint="eastAsia" w:ascii="方正仿宋_GBK" w:hAnsi="方正仿宋_GBK" w:eastAsia="方正仿宋_GBK" w:cs="方正仿宋_GBK"/>
          <w:color w:val="000000"/>
          <w:sz w:val="28"/>
          <w:szCs w:val="28"/>
        </w:rPr>
        <w:t>包括完成该项目的全部货物和服务所发生的费用，以及为完成上述内容所必须的税金、保险、劳务、运输及所需的全部费用。</w:t>
      </w:r>
      <w:r>
        <w:rPr>
          <w:rFonts w:hint="eastAsia" w:ascii="方正仿宋_GBK" w:hAnsi="方正仿宋_GBK" w:eastAsia="方正仿宋_GBK" w:cs="方正仿宋_GBK"/>
          <w:b/>
          <w:bCs/>
          <w:kern w:val="0"/>
          <w:sz w:val="28"/>
          <w:szCs w:val="28"/>
        </w:rPr>
        <w:t>上述单价包括</w:t>
      </w:r>
      <w:r>
        <w:rPr>
          <w:rFonts w:hint="eastAsia" w:ascii="方正仿宋_GBK" w:hAnsi="方正仿宋_GBK" w:eastAsia="方正仿宋_GBK" w:cs="方正仿宋_GBK"/>
          <w:sz w:val="28"/>
          <w:szCs w:val="28"/>
        </w:rPr>
        <w:t>所有货物、相关附件、运输保险、装卸、安装</w:t>
      </w:r>
      <w:r>
        <w:rPr>
          <w:rFonts w:hint="eastAsia" w:ascii="方正仿宋_GBK" w:hAnsi="方正仿宋_GBK" w:eastAsia="方正仿宋_GBK" w:cs="方正仿宋_GBK"/>
          <w:sz w:val="28"/>
          <w:szCs w:val="28"/>
          <w:lang w:val="en-US" w:eastAsia="zh-CN"/>
        </w:rPr>
        <w:t>(包括管路、电源等所有线路）</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混凝土切割修复、与原有供水调度平台对接、</w:t>
      </w:r>
      <w:r>
        <w:rPr>
          <w:rFonts w:hint="eastAsia" w:ascii="方正仿宋_GBK" w:hAnsi="方正仿宋_GBK" w:eastAsia="方正仿宋_GBK" w:cs="方正仿宋_GBK"/>
          <w:sz w:val="28"/>
          <w:szCs w:val="28"/>
        </w:rPr>
        <w:t>调试、检测、验收、税金、售后质保、服务、汇率等所有与本项目相关的费用，即招标物交付使用前的所有费用以及免保期内的服务费用等。各投标单位在报价时请充分考虑各种因素，</w:t>
      </w:r>
      <w:r>
        <w:rPr>
          <w:rFonts w:hint="eastAsia" w:ascii="方正仿宋_GBK" w:hAnsi="方正仿宋_GBK" w:eastAsia="方正仿宋_GBK" w:cs="方正仿宋_GBK"/>
          <w:b/>
          <w:bCs/>
          <w:kern w:val="0"/>
          <w:sz w:val="28"/>
          <w:szCs w:val="28"/>
        </w:rPr>
        <w:t>上述单价不因市场价格因素和政策调整的变化而调整。</w:t>
      </w:r>
    </w:p>
    <w:p>
      <w:pPr>
        <w:spacing w:line="500" w:lineRule="exact"/>
        <w:rPr>
          <w:rFonts w:hint="eastAsia" w:ascii="方正仿宋_GBK" w:hAnsi="方正仿宋_GBK" w:eastAsia="方正仿宋_GBK" w:cs="方正仿宋_GBK"/>
          <w:color w:val="000000"/>
          <w:sz w:val="28"/>
          <w:szCs w:val="28"/>
        </w:rPr>
      </w:pPr>
    </w:p>
    <w:p>
      <w:pPr>
        <w:spacing w:line="48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报价单位（公章）：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法定代表人或其授权代理人（签字）：</w:t>
      </w:r>
    </w:p>
    <w:p>
      <w:pPr>
        <w:spacing w:line="480" w:lineRule="exact"/>
        <w:rPr>
          <w:rFonts w:hint="eastAsia" w:ascii="方正仿宋_GBK" w:hAnsi="方正仿宋_GBK" w:eastAsia="方正仿宋_GBK" w:cs="方正仿宋_GBK"/>
          <w:sz w:val="28"/>
          <w:szCs w:val="28"/>
        </w:rPr>
      </w:pPr>
    </w:p>
    <w:p>
      <w:pPr>
        <w:pStyle w:val="41"/>
        <w:ind w:left="314" w:hanging="313" w:hangingChars="11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联系电话：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日期：  年  月   日</w:t>
      </w:r>
    </w:p>
    <w:p>
      <w:pPr>
        <w:spacing w:line="360" w:lineRule="exact"/>
        <w:ind w:firstLine="750" w:firstLineChars="300"/>
        <w:rPr>
          <w:rFonts w:hint="eastAsia" w:ascii="宋体" w:hAnsi="宋体" w:cs="宋体"/>
          <w:color w:val="000000"/>
          <w:sz w:val="25"/>
          <w:highlight w:val="none"/>
        </w:rPr>
        <w:sectPr>
          <w:pgSz w:w="16838" w:h="11906" w:orient="landscape"/>
          <w:pgMar w:top="1440" w:right="1440" w:bottom="1440" w:left="1440" w:header="851" w:footer="992" w:gutter="0"/>
          <w:cols w:space="720" w:num="1"/>
          <w:docGrid w:type="lines" w:linePitch="312" w:charSpace="0"/>
        </w:sectPr>
      </w:pPr>
    </w:p>
    <w:p>
      <w:pPr>
        <w:spacing w:line="520" w:lineRule="exact"/>
        <w:jc w:val="center"/>
        <w:rPr>
          <w:rFonts w:ascii="宋体" w:cs="宋体"/>
          <w:b/>
          <w:bCs/>
          <w:color w:val="0D0D0D" w:themeColor="text1" w:themeTint="F2"/>
          <w:kern w:val="0"/>
          <w:sz w:val="32"/>
          <w:szCs w:val="32"/>
          <w:highlight w:val="none"/>
          <w14:textFill>
            <w14:solidFill>
              <w14:schemeClr w14:val="tx1">
                <w14:lumMod w14:val="95000"/>
                <w14:lumOff w14:val="5000"/>
              </w14:schemeClr>
            </w14:solidFill>
          </w14:textFill>
        </w:rPr>
      </w:pPr>
      <w:r>
        <w:rPr>
          <w:rFonts w:hint="eastAsia" w:ascii="宋体" w:hAnsi="宋体" w:cs="宋体"/>
          <w:b/>
          <w:bCs/>
          <w:color w:val="0D0D0D" w:themeColor="text1" w:themeTint="F2"/>
          <w:sz w:val="32"/>
          <w:szCs w:val="32"/>
          <w:highlight w:val="none"/>
          <w:lang w:val="en-US" w:eastAsia="zh-CN"/>
          <w14:textFill>
            <w14:solidFill>
              <w14:schemeClr w14:val="tx1">
                <w14:lumMod w14:val="95000"/>
                <w14:lumOff w14:val="5000"/>
              </w14:schemeClr>
            </w14:solidFill>
          </w14:textFill>
        </w:rPr>
        <w:t>七</w:t>
      </w:r>
      <w:r>
        <w:rPr>
          <w:rFonts w:hint="eastAsia" w:ascii="宋体" w:hAnsi="宋体" w:cs="宋体"/>
          <w:b/>
          <w:bCs/>
          <w:color w:val="0D0D0D" w:themeColor="text1" w:themeTint="F2"/>
          <w:sz w:val="32"/>
          <w:szCs w:val="32"/>
          <w:highlight w:val="none"/>
          <w14:textFill>
            <w14:solidFill>
              <w14:schemeClr w14:val="tx1">
                <w14:lumMod w14:val="95000"/>
                <w14:lumOff w14:val="5000"/>
              </w14:schemeClr>
            </w14:solidFill>
          </w14:textFill>
        </w:rPr>
        <w:t>、</w:t>
      </w:r>
      <w:r>
        <w:rPr>
          <w:rFonts w:hint="eastAsia" w:ascii="宋体" w:hAnsi="宋体" w:cs="宋体"/>
          <w:b/>
          <w:bCs/>
          <w:color w:val="0D0D0D" w:themeColor="text1" w:themeTint="F2"/>
          <w:kern w:val="0"/>
          <w:sz w:val="32"/>
          <w:szCs w:val="32"/>
          <w:highlight w:val="none"/>
          <w14:textFill>
            <w14:solidFill>
              <w14:schemeClr w14:val="tx1">
                <w14:lumMod w14:val="95000"/>
                <w14:lumOff w14:val="5000"/>
              </w14:schemeClr>
            </w14:solidFill>
          </w14:textFill>
        </w:rPr>
        <w:t>投标声明函</w:t>
      </w:r>
    </w:p>
    <w:p>
      <w:pPr>
        <w:spacing w:line="520" w:lineRule="exact"/>
        <w:ind w:left="480" w:hanging="480" w:hanging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致</w:t>
      </w:r>
      <w:r>
        <w:rPr>
          <w:rFonts w:hint="eastAsia" w:ascii="宋体" w:hAnsi="宋体" w:cs="宋体"/>
          <w:color w:val="0D0D0D" w:themeColor="text1" w:themeTint="F2"/>
          <w:sz w:val="24"/>
          <w:szCs w:val="24"/>
          <w:highlight w:val="none"/>
          <w:u w:val="single"/>
          <w14:textFill>
            <w14:solidFill>
              <w14:schemeClr w14:val="tx1">
                <w14:lumMod w14:val="95000"/>
                <w14:lumOff w14:val="5000"/>
              </w14:schemeClr>
            </w14:solidFill>
          </w14:textFill>
        </w:rPr>
        <w:t>南通市通州区水务有限公司</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ascii="宋体" w:cs="宋体"/>
          <w:color w:val="0D0D0D" w:themeColor="text1" w:themeTint="F2"/>
          <w:sz w:val="24"/>
          <w:szCs w:val="24"/>
          <w:highlight w:val="none"/>
          <w14:textFill>
            <w14:solidFill>
              <w14:schemeClr w14:val="tx1">
                <w14:lumMod w14:val="95000"/>
                <w14:lumOff w14:val="5000"/>
              </w14:schemeClr>
            </w14:solidFill>
          </w14:textFill>
        </w:rPr>
        <w:t>   </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、我方承诺（</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具有独立承担民事责任的能力；（</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）具有良好的商业信誉和健全的财务会计制度；（</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）具有履行合同所必需的设备及专业技术能力；（</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）有依法缴纳税收和社会保障资金的良好记录；（</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5</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）参加本次招标活动前三年内，在经营活动中没有重大违法记录；（</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6</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）法律、行政法规规定的其他条件，且符合、承认并承诺履行招标文件各项规定的国内法人、其他组织（不包括在港澳台地区注册成立的法人、其它组织）；</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以及本项目招标文件规定的投标人须满足的特定条件。</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、我方承诺信用记录中</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未被“信用中国”网站</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w:t>
      </w:r>
      <w:r>
        <w:rPr>
          <w:highlight w:val="none"/>
        </w:rPr>
        <w:fldChar w:fldCharType="begin"/>
      </w:r>
      <w:r>
        <w:rPr>
          <w:highlight w:val="none"/>
        </w:rPr>
        <w:instrText xml:space="preserve"> HYPERLINK "http://www.creditchina.gov.cn" </w:instrText>
      </w:r>
      <w:r>
        <w:rPr>
          <w:highlight w:val="none"/>
        </w:rPr>
        <w:fldChar w:fldCharType="separate"/>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www.creditchina.gov.cn</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fldChar w:fldCharType="end"/>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、中华人民共和国最高人民法院网站（</w:t>
      </w:r>
      <w:r>
        <w:rPr>
          <w:highlight w:val="none"/>
        </w:rPr>
        <w:fldChar w:fldCharType="begin"/>
      </w:r>
      <w:r>
        <w:rPr>
          <w:highlight w:val="none"/>
        </w:rPr>
        <w:instrText xml:space="preserve"> HYPERLINK "http://www.court.gov.cn/" </w:instrText>
      </w:r>
      <w:r>
        <w:rPr>
          <w:highlight w:val="none"/>
        </w:rPr>
        <w:fldChar w:fldCharType="separate"/>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http://www.court.gov.cn</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）等渠道列入信用记录失信被执行人，未被中华人民共和国应急管理部网站（</w:t>
      </w:r>
      <w:r>
        <w:rPr>
          <w:highlight w:val="none"/>
        </w:rPr>
        <w:fldChar w:fldCharType="begin"/>
      </w:r>
      <w:r>
        <w:rPr>
          <w:highlight w:val="none"/>
        </w:rPr>
        <w:instrText xml:space="preserve"> HYPERLINK "http://www.chinasafety.gov.cn/" </w:instrText>
      </w:r>
      <w:r>
        <w:rPr>
          <w:highlight w:val="none"/>
        </w:rPr>
        <w:fldChar w:fldCharType="separate"/>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http://www.chinasafety.gov.cn</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）等渠道列入安全生产失信联合惩戒“黑名单”，未被国家税务总局网站（</w:t>
      </w:r>
      <w:r>
        <w:rPr>
          <w:highlight w:val="none"/>
        </w:rPr>
        <w:fldChar w:fldCharType="begin"/>
      </w:r>
      <w:r>
        <w:rPr>
          <w:highlight w:val="none"/>
        </w:rPr>
        <w:instrText xml:space="preserve"> HYPERLINK "http://hd.chinatax.gov.cn/xxk/" </w:instrText>
      </w:r>
      <w:r>
        <w:rPr>
          <w:highlight w:val="none"/>
        </w:rPr>
        <w:fldChar w:fldCharType="separate"/>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http://hd.chinatax.gov.cn/xxk</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）等渠道列入重大税收违法案件当事人名单，未被国家企业信用信息公示系统（</w:t>
      </w:r>
      <w:r>
        <w:rPr>
          <w:highlight w:val="none"/>
        </w:rPr>
        <w:fldChar w:fldCharType="begin"/>
      </w:r>
      <w:r>
        <w:rPr>
          <w:highlight w:val="none"/>
        </w:rPr>
        <w:instrText xml:space="preserve"> HYPERLINK "http://www.gsxt.gov.cn" </w:instrText>
      </w:r>
      <w:r>
        <w:rPr>
          <w:highlight w:val="none"/>
        </w:rPr>
        <w:fldChar w:fldCharType="separate"/>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http://www.gsxt.gov.cn</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）等渠道列入经营异常名录、严重违法失信企业名单，未被全国公共资源交易平台（</w:t>
      </w:r>
      <w:r>
        <w:rPr>
          <w:highlight w:val="none"/>
        </w:rPr>
        <w:fldChar w:fldCharType="begin"/>
      </w:r>
      <w:r>
        <w:rPr>
          <w:highlight w:val="none"/>
        </w:rPr>
        <w:instrText xml:space="preserve"> HYPERLINK "http://www.ggzy.gov.cn" </w:instrText>
      </w:r>
      <w:r>
        <w:rPr>
          <w:highlight w:val="none"/>
        </w:rPr>
        <w:fldChar w:fldCharType="separate"/>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t>http://www.ggzy.gov.cn</w:t>
      </w:r>
      <w:r>
        <w:rPr>
          <w:rFonts w:ascii="宋体" w:hAnsi="宋体" w:cs="宋体"/>
          <w:color w:val="0D0D0D" w:themeColor="text1" w:themeTint="F2"/>
          <w:kern w:val="0"/>
          <w:sz w:val="24"/>
          <w:szCs w:val="24"/>
          <w:highlight w:val="none"/>
          <w14:textFill>
            <w14:solidFill>
              <w14:schemeClr w14:val="tx1">
                <w14:lumMod w14:val="95000"/>
                <w14:lumOff w14:val="5000"/>
              </w14:schemeClr>
            </w14:solidFill>
          </w14:textFill>
        </w:rPr>
        <w:fldChar w:fldCharType="end"/>
      </w:r>
      <w:r>
        <w:rPr>
          <w:rFonts w:hint="eastAsia" w:ascii="宋体" w:hAnsi="宋体" w:cs="宋体"/>
          <w:color w:val="0D0D0D" w:themeColor="text1" w:themeTint="F2"/>
          <w:kern w:val="0"/>
          <w:sz w:val="24"/>
          <w:szCs w:val="24"/>
          <w:highlight w:val="none"/>
          <w14:textFill>
            <w14:solidFill>
              <w14:schemeClr w14:val="tx1">
                <w14:lumMod w14:val="95000"/>
                <w14:lumOff w14:val="5000"/>
              </w14:schemeClr>
            </w14:solidFill>
          </w14:textFill>
        </w:rPr>
        <w:t>）等渠道列入黑名单；</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否则，可将我方的投标文件按照无效投标文件处理。</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3</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、我方承诺参加本次招标活动前三年内，在经营活动中没有重大违法记录，否则，可将我方的投标文件按照无效投标文件处理。</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4</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、我方承诺完全具有履行合同所必需的设备和专业技术能力。</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5</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、我方承诺按照本项目招标文件和相关技术标准的条件，完成供货。</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6</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、我方对本项目招标文件（包括修改文件及有关附件）完全理解，并承诺在发生争议时，不会以对招标文件存在误解、不明为由，向你方行使任何法律上的抗辩权。</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7</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、我方投标文件有效期为自开标日起60个日历日，若中标，则投标有效期自动延续至合同履行完毕。</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8</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、我方承诺接受招标文件规定的付款方式。</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9</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10</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、我方承诺投标文件中所有的资料及所作各项承诺均真实准确，所提交的营业执照</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《事业单位法人证书》已依法向登记管理机关报送相应的年度报告并予以公示（或所提交的《社会团体法人登记证书》</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、我方委托授权</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姓名</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:_________</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，身份证号</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:_________</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，联系电话：</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________)</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作为我方的代理人参加本项目投标，负责提交投标文件以及其它相关资料，参加开标，接受质询并予以澄清，签署、接受招投标过程中的各种法律文件，办理投标过程中的其他相关事务。</w:t>
      </w:r>
    </w:p>
    <w:p>
      <w:pPr>
        <w:tabs>
          <w:tab w:val="left" w:pos="0"/>
        </w:tabs>
        <w:spacing w:line="520" w:lineRule="exact"/>
        <w:ind w:firstLine="480" w:firstLineChars="200"/>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12</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、我方承诺将严格遵守《中华人民共和国招标投标法》及相关法规，若存在违法违规行为，将承担相应的法律后果。</w:t>
      </w:r>
    </w:p>
    <w:p>
      <w:pPr>
        <w:spacing w:line="520" w:lineRule="exact"/>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法定代表人签字或盖章：</w:t>
      </w:r>
    </w:p>
    <w:p>
      <w:pPr>
        <w:spacing w:line="520" w:lineRule="exact"/>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投标人公章：</w:t>
      </w:r>
    </w:p>
    <w:p>
      <w:pPr>
        <w:spacing w:line="520" w:lineRule="exact"/>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日期：</w:t>
      </w:r>
    </w:p>
    <w:p>
      <w:pPr>
        <w:spacing w:line="520" w:lineRule="exact"/>
        <w:jc w:val="left"/>
        <w:rPr>
          <w:rFonts w:ascii="宋体" w:cs="宋体"/>
          <w:color w:val="0D0D0D" w:themeColor="text1" w:themeTint="F2"/>
          <w:sz w:val="24"/>
          <w:szCs w:val="24"/>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注：</w:t>
      </w:r>
      <w:r>
        <w:rPr>
          <w:rFonts w:ascii="宋体" w:hAnsi="宋体" w:cs="宋体"/>
          <w:color w:val="0D0D0D" w:themeColor="text1" w:themeTint="F2"/>
          <w:sz w:val="24"/>
          <w:szCs w:val="24"/>
          <w:highlight w:val="none"/>
          <w14:textFill>
            <w14:solidFill>
              <w14:schemeClr w14:val="tx1">
                <w14:lumMod w14:val="95000"/>
                <w14:lumOff w14:val="5000"/>
              </w14:schemeClr>
            </w14:solidFill>
          </w14:textFill>
        </w:rPr>
        <w:t>1</w:t>
      </w: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、出具本函的单位属于非法人组织的，按照法律、行政法规规定能够对外代表其从事民事活动的主要负责人，如个人独资企业的投资人，代表合伙企业执行合伙企业事务的合伙人等，视同法定代表人。</w:t>
      </w:r>
    </w:p>
    <w:p>
      <w:pPr>
        <w:numPr>
          <w:ilvl w:val="0"/>
          <w:numId w:val="4"/>
        </w:numPr>
        <w:spacing w:line="520" w:lineRule="exact"/>
        <w:jc w:val="left"/>
        <w:rPr>
          <w:color w:val="0D0D0D" w:themeColor="text1" w:themeTint="F2"/>
          <w:highlight w:val="none"/>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14:textFill>
            <w14:solidFill>
              <w14:schemeClr w14:val="tx1">
                <w14:lumMod w14:val="95000"/>
                <w14:lumOff w14:val="5000"/>
              </w14:schemeClr>
            </w14:solidFill>
          </w14:textFill>
        </w:rPr>
        <w:t>若本项目允许联合体投标，且投标人为联合体的，则上文中“我方”包含联合体各方。</w:t>
      </w:r>
      <w:bookmarkStart w:id="31" w:name="OLE_LINK3"/>
      <w:bookmarkStart w:id="32" w:name="OLE_LINK4"/>
      <w:bookmarkStart w:id="33" w:name="_Toc508219371"/>
      <w:bookmarkStart w:id="34" w:name="_Toc508219336"/>
    </w:p>
    <w:p>
      <w:pPr>
        <w:rPr>
          <w:color w:val="0D0D0D" w:themeColor="text1" w:themeTint="F2"/>
          <w:highlight w:val="none"/>
          <w14:textFill>
            <w14:solidFill>
              <w14:schemeClr w14:val="tx1">
                <w14:lumMod w14:val="95000"/>
                <w14:lumOff w14:val="5000"/>
              </w14:schemeClr>
            </w14:solidFill>
          </w14:textFill>
        </w:rPr>
      </w:pPr>
    </w:p>
    <w:p>
      <w:pPr>
        <w:pStyle w:val="15"/>
        <w:jc w:val="both"/>
        <w:rPr>
          <w:color w:val="0D0D0D" w:themeColor="text1" w:themeTint="F2"/>
          <w:highlight w:val="none"/>
          <w14:textFill>
            <w14:solidFill>
              <w14:schemeClr w14:val="tx1">
                <w14:lumMod w14:val="95000"/>
                <w14:lumOff w14:val="5000"/>
              </w14:schemeClr>
            </w14:solidFill>
          </w14:textFill>
        </w:rPr>
      </w:pPr>
    </w:p>
    <w:p>
      <w:pPr>
        <w:spacing w:line="400" w:lineRule="exact"/>
        <w:jc w:val="center"/>
        <w:rPr>
          <w:rFonts w:ascii="宋体" w:hAnsi="宋体" w:cs="宋体"/>
          <w:b/>
          <w:bCs/>
          <w:color w:val="0D0D0D" w:themeColor="text1" w:themeTint="F2"/>
          <w:sz w:val="32"/>
          <w:szCs w:val="32"/>
          <w:highlight w:val="none"/>
          <w14:textFill>
            <w14:solidFill>
              <w14:schemeClr w14:val="tx1">
                <w14:lumMod w14:val="95000"/>
                <w14:lumOff w14:val="5000"/>
              </w14:schemeClr>
            </w14:solidFill>
          </w14:textFill>
        </w:rPr>
      </w:pPr>
    </w:p>
    <w:p>
      <w:pPr>
        <w:spacing w:line="400" w:lineRule="exact"/>
        <w:jc w:val="center"/>
        <w:rPr>
          <w:rFonts w:ascii="宋体" w:hAnsi="宋体" w:cs="宋体"/>
          <w:b/>
          <w:bCs/>
          <w:color w:val="0D0D0D" w:themeColor="text1" w:themeTint="F2"/>
          <w:sz w:val="32"/>
          <w:szCs w:val="32"/>
          <w:highlight w:val="none"/>
          <w14:textFill>
            <w14:solidFill>
              <w14:schemeClr w14:val="tx1">
                <w14:lumMod w14:val="95000"/>
                <w14:lumOff w14:val="5000"/>
              </w14:schemeClr>
            </w14:solidFill>
          </w14:textFill>
        </w:rPr>
      </w:pPr>
    </w:p>
    <w:bookmarkEnd w:id="31"/>
    <w:bookmarkEnd w:id="32"/>
    <w:bookmarkEnd w:id="33"/>
    <w:bookmarkEnd w:id="34"/>
    <w:p>
      <w:pPr>
        <w:adjustRightInd w:val="0"/>
        <w:snapToGrid w:val="0"/>
        <w:spacing w:line="400" w:lineRule="exact"/>
        <w:ind w:firstLine="482"/>
        <w:rPr>
          <w:rFonts w:hint="eastAsia" w:ascii="宋体" w:hAnsi="宋体"/>
          <w:b/>
          <w:bCs/>
          <w:sz w:val="24"/>
          <w:highlight w:val="none"/>
        </w:rPr>
      </w:pPr>
    </w:p>
    <w:p>
      <w:pPr>
        <w:rPr>
          <w:highlight w:val="none"/>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D57695C-4031-4EE7-A747-7D16AC710CA1}"/>
  </w:font>
  <w:font w:name="黑体">
    <w:panose1 w:val="02010609060101010101"/>
    <w:charset w:val="86"/>
    <w:family w:val="auto"/>
    <w:pitch w:val="default"/>
    <w:sig w:usb0="800002BF" w:usb1="38CF7CFA" w:usb2="00000016" w:usb3="00000000" w:csb0="00040001" w:csb1="00000000"/>
    <w:embedRegular r:id="rId2" w:fontKey="{D1B9C85C-479D-44F9-8905-BFF0B05EDEBC}"/>
  </w:font>
  <w:font w:name="Courier New">
    <w:panose1 w:val="02070309020205020404"/>
    <w:charset w:val="01"/>
    <w:family w:val="modern"/>
    <w:pitch w:val="default"/>
    <w:sig w:usb0="E0002EFF" w:usb1="C0007843" w:usb2="00000009" w:usb3="00000000" w:csb0="400001FF" w:csb1="FFFF0000"/>
    <w:embedRegular r:id="rId3" w:fontKey="{6A70208C-C8A0-46C7-A07A-6FB83FE2B13B}"/>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4" w:fontKey="{71127F11-9B0F-4760-968A-83D462A875C1}"/>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5" w:fontKey="{B50E85E0-0855-4EC5-91B3-D90DA79E2D42}"/>
  </w:font>
  <w:font w:name="方正小标宋_GBK">
    <w:panose1 w:val="03000509000000000000"/>
    <w:charset w:val="86"/>
    <w:family w:val="auto"/>
    <w:pitch w:val="default"/>
    <w:sig w:usb0="00000001" w:usb1="080E0000" w:usb2="00000000" w:usb3="00000000" w:csb0="00040000" w:csb1="00000000"/>
    <w:embedRegular r:id="rId6" w:fontKey="{ACE4972E-05D4-4A24-AADD-9B920E854C3C}"/>
  </w:font>
  <w:font w:name="微软雅黑">
    <w:panose1 w:val="020B0503020204020204"/>
    <w:charset w:val="86"/>
    <w:family w:val="swiss"/>
    <w:pitch w:val="default"/>
    <w:sig w:usb0="80000287" w:usb1="2ACF3C50" w:usb2="00000016" w:usb3="00000000" w:csb0="0004001F" w:csb1="00000000"/>
    <w:embedRegular r:id="rId7" w:fontKey="{7946B24C-F32E-4782-A100-52B09F1F7A59}"/>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embedRegular r:id="rId8" w:fontKey="{ECA83757-5BBF-4C74-BD6B-DD85BF552439}"/>
  </w:font>
  <w:font w:name="Tahoma">
    <w:panose1 w:val="020B0604030504040204"/>
    <w:charset w:val="00"/>
    <w:family w:val="swiss"/>
    <w:pitch w:val="default"/>
    <w:sig w:usb0="E1002EFF" w:usb1="C000605B" w:usb2="00000029" w:usb3="00000000" w:csb0="200101FF" w:csb1="20280000"/>
    <w:embedRegular r:id="rId9" w:fontKey="{50B310D2-9088-485D-88D3-508F6475EF8C}"/>
  </w:font>
  <w:font w:name="方正魏碑简体">
    <w:altName w:val="宋体"/>
    <w:panose1 w:val="00000000000000000000"/>
    <w:charset w:val="86"/>
    <w:family w:val="auto"/>
    <w:pitch w:val="default"/>
    <w:sig w:usb0="00000000" w:usb1="00000000" w:usb2="00000010" w:usb3="00000000" w:csb0="00040000" w:csb1="00000000"/>
    <w:embedRegular r:id="rId10" w:fontKey="{518B2896-1C36-4A28-AB5D-D888ED2DF847}"/>
  </w:font>
  <w:font w:name="隶书">
    <w:panose1 w:val="02010509060101010101"/>
    <w:charset w:val="86"/>
    <w:family w:val="modern"/>
    <w:pitch w:val="default"/>
    <w:sig w:usb0="00000001" w:usb1="080E0000" w:usb2="00000000" w:usb3="00000000" w:csb0="00040000" w:csb1="00000000"/>
    <w:embedRegular r:id="rId11" w:fontKey="{FC4425FD-7AAA-4B8F-9B93-9E76AB6DD2A9}"/>
  </w:font>
  <w:font w:name="方正仿宋_GBK">
    <w:panose1 w:val="03000509000000000000"/>
    <w:charset w:val="86"/>
    <w:family w:val="script"/>
    <w:pitch w:val="default"/>
    <w:sig w:usb0="00000001" w:usb1="080E0000" w:usb2="00000000" w:usb3="00000000" w:csb0="00040000" w:csb1="00000000"/>
    <w:embedRegular r:id="rId12" w:fontKey="{8ACFC718-66A7-4878-928E-5CF82E86E79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fldChar w:fldCharType="begin"/>
                          </w:r>
                          <w:r>
                            <w:instrText xml:space="preserve"> PAGE  \* MERGEFORMAT </w:instrText>
                          </w:r>
                          <w:r>
                            <w:fldChar w:fldCharType="separate"/>
                          </w:r>
                          <w:r>
                            <w:t>17</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fvyfQzwEAAKoDAAAOAAAAAAAAAAEAIAAAAB4BAABkcnMv&#10;ZTJvRG9jLnhtbFBLBQYAAAAABgAGAFkBAABf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F120C"/>
    <w:multiLevelType w:val="singleLevel"/>
    <w:tmpl w:val="B4EF120C"/>
    <w:lvl w:ilvl="0" w:tentative="0">
      <w:start w:val="2"/>
      <w:numFmt w:val="decimal"/>
      <w:suff w:val="nothing"/>
      <w:lvlText w:val="%1、"/>
      <w:lvlJc w:val="left"/>
    </w:lvl>
  </w:abstractNum>
  <w:abstractNum w:abstractNumId="1">
    <w:nsid w:val="00000001"/>
    <w:multiLevelType w:val="multilevel"/>
    <w:tmpl w:val="00000001"/>
    <w:lvl w:ilvl="0" w:tentative="0">
      <w:start w:val="1"/>
      <w:numFmt w:val="decimal"/>
      <w:pStyle w:val="5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8E6434"/>
    <w:multiLevelType w:val="multilevel"/>
    <w:tmpl w:val="6B8E6434"/>
    <w:lvl w:ilvl="0" w:tentative="0">
      <w:start w:val="3"/>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E7B7994"/>
    <w:multiLevelType w:val="multilevel"/>
    <w:tmpl w:val="7E7B799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WM2ZTYyZmYzYjVmOGMxOGExMjliMDk2ZTgwZDIifQ=="/>
  </w:docVars>
  <w:rsids>
    <w:rsidRoot w:val="001D7491"/>
    <w:rsid w:val="000008CD"/>
    <w:rsid w:val="00000CD6"/>
    <w:rsid w:val="00000D34"/>
    <w:rsid w:val="000013E5"/>
    <w:rsid w:val="00002A1D"/>
    <w:rsid w:val="00002E4A"/>
    <w:rsid w:val="00003A13"/>
    <w:rsid w:val="00003A8A"/>
    <w:rsid w:val="00003BBF"/>
    <w:rsid w:val="0000422B"/>
    <w:rsid w:val="00004888"/>
    <w:rsid w:val="0000673A"/>
    <w:rsid w:val="000068EB"/>
    <w:rsid w:val="00006BD8"/>
    <w:rsid w:val="00007632"/>
    <w:rsid w:val="000079E4"/>
    <w:rsid w:val="00007B04"/>
    <w:rsid w:val="00007B18"/>
    <w:rsid w:val="00010C98"/>
    <w:rsid w:val="00010E2A"/>
    <w:rsid w:val="00010EE2"/>
    <w:rsid w:val="00011703"/>
    <w:rsid w:val="00014048"/>
    <w:rsid w:val="00014224"/>
    <w:rsid w:val="00014B97"/>
    <w:rsid w:val="00016452"/>
    <w:rsid w:val="00017BE3"/>
    <w:rsid w:val="00020AE0"/>
    <w:rsid w:val="0002104C"/>
    <w:rsid w:val="00021147"/>
    <w:rsid w:val="000212E6"/>
    <w:rsid w:val="000214C4"/>
    <w:rsid w:val="000224C7"/>
    <w:rsid w:val="00022938"/>
    <w:rsid w:val="00022C93"/>
    <w:rsid w:val="000237F7"/>
    <w:rsid w:val="0002460B"/>
    <w:rsid w:val="00024935"/>
    <w:rsid w:val="0002611E"/>
    <w:rsid w:val="00030BF4"/>
    <w:rsid w:val="00032DF9"/>
    <w:rsid w:val="00033E8E"/>
    <w:rsid w:val="00034232"/>
    <w:rsid w:val="00034950"/>
    <w:rsid w:val="00035655"/>
    <w:rsid w:val="000364EA"/>
    <w:rsid w:val="000365BC"/>
    <w:rsid w:val="00037CAA"/>
    <w:rsid w:val="0004006F"/>
    <w:rsid w:val="0004036B"/>
    <w:rsid w:val="00040F70"/>
    <w:rsid w:val="0004106B"/>
    <w:rsid w:val="00041326"/>
    <w:rsid w:val="00043A9B"/>
    <w:rsid w:val="00043E69"/>
    <w:rsid w:val="00045700"/>
    <w:rsid w:val="00045839"/>
    <w:rsid w:val="00045FE6"/>
    <w:rsid w:val="00046E4F"/>
    <w:rsid w:val="000474EC"/>
    <w:rsid w:val="00047CCA"/>
    <w:rsid w:val="0005032D"/>
    <w:rsid w:val="000518FD"/>
    <w:rsid w:val="00051D18"/>
    <w:rsid w:val="00051F1B"/>
    <w:rsid w:val="0005241F"/>
    <w:rsid w:val="000532E7"/>
    <w:rsid w:val="00053F53"/>
    <w:rsid w:val="00054122"/>
    <w:rsid w:val="000545C6"/>
    <w:rsid w:val="00055DD9"/>
    <w:rsid w:val="000561B6"/>
    <w:rsid w:val="00056479"/>
    <w:rsid w:val="000568DA"/>
    <w:rsid w:val="00056DA3"/>
    <w:rsid w:val="00056FA0"/>
    <w:rsid w:val="00057517"/>
    <w:rsid w:val="000615ED"/>
    <w:rsid w:val="00061B6D"/>
    <w:rsid w:val="000623BC"/>
    <w:rsid w:val="000632D8"/>
    <w:rsid w:val="0006371D"/>
    <w:rsid w:val="00063CFF"/>
    <w:rsid w:val="000641F5"/>
    <w:rsid w:val="000649EE"/>
    <w:rsid w:val="00064D62"/>
    <w:rsid w:val="0006522F"/>
    <w:rsid w:val="00065588"/>
    <w:rsid w:val="000661A1"/>
    <w:rsid w:val="00066E52"/>
    <w:rsid w:val="00067108"/>
    <w:rsid w:val="000675BA"/>
    <w:rsid w:val="00067605"/>
    <w:rsid w:val="0006771F"/>
    <w:rsid w:val="00072CB2"/>
    <w:rsid w:val="00073129"/>
    <w:rsid w:val="000739A8"/>
    <w:rsid w:val="000748A6"/>
    <w:rsid w:val="00074AD5"/>
    <w:rsid w:val="00075A53"/>
    <w:rsid w:val="000763E9"/>
    <w:rsid w:val="00077942"/>
    <w:rsid w:val="00077E23"/>
    <w:rsid w:val="00080BB2"/>
    <w:rsid w:val="00081B89"/>
    <w:rsid w:val="00081F85"/>
    <w:rsid w:val="00082F2D"/>
    <w:rsid w:val="00083057"/>
    <w:rsid w:val="000832B0"/>
    <w:rsid w:val="000835A1"/>
    <w:rsid w:val="00083647"/>
    <w:rsid w:val="00083767"/>
    <w:rsid w:val="00083A11"/>
    <w:rsid w:val="00083A66"/>
    <w:rsid w:val="00083C89"/>
    <w:rsid w:val="00084332"/>
    <w:rsid w:val="00084438"/>
    <w:rsid w:val="00084946"/>
    <w:rsid w:val="0008562F"/>
    <w:rsid w:val="00086499"/>
    <w:rsid w:val="0008694E"/>
    <w:rsid w:val="00086E7E"/>
    <w:rsid w:val="00087144"/>
    <w:rsid w:val="00087348"/>
    <w:rsid w:val="0008758E"/>
    <w:rsid w:val="0009060A"/>
    <w:rsid w:val="00090F73"/>
    <w:rsid w:val="00091AF3"/>
    <w:rsid w:val="00091BE4"/>
    <w:rsid w:val="000939E2"/>
    <w:rsid w:val="0009428F"/>
    <w:rsid w:val="000948E1"/>
    <w:rsid w:val="00095043"/>
    <w:rsid w:val="0009532B"/>
    <w:rsid w:val="00095485"/>
    <w:rsid w:val="000954F1"/>
    <w:rsid w:val="000968E5"/>
    <w:rsid w:val="00096F7B"/>
    <w:rsid w:val="00097B78"/>
    <w:rsid w:val="00097E8C"/>
    <w:rsid w:val="00097F0C"/>
    <w:rsid w:val="000A01A9"/>
    <w:rsid w:val="000A0208"/>
    <w:rsid w:val="000A2050"/>
    <w:rsid w:val="000A20BB"/>
    <w:rsid w:val="000A3063"/>
    <w:rsid w:val="000A30D1"/>
    <w:rsid w:val="000A3448"/>
    <w:rsid w:val="000A3A41"/>
    <w:rsid w:val="000A4C6E"/>
    <w:rsid w:val="000A4E81"/>
    <w:rsid w:val="000A5A82"/>
    <w:rsid w:val="000A625A"/>
    <w:rsid w:val="000A6EDD"/>
    <w:rsid w:val="000B00A4"/>
    <w:rsid w:val="000B02BD"/>
    <w:rsid w:val="000B0B83"/>
    <w:rsid w:val="000B2120"/>
    <w:rsid w:val="000B28BA"/>
    <w:rsid w:val="000B349E"/>
    <w:rsid w:val="000B5483"/>
    <w:rsid w:val="000B64FD"/>
    <w:rsid w:val="000B6C26"/>
    <w:rsid w:val="000B71E7"/>
    <w:rsid w:val="000B7312"/>
    <w:rsid w:val="000C0858"/>
    <w:rsid w:val="000C0943"/>
    <w:rsid w:val="000C1198"/>
    <w:rsid w:val="000C13F1"/>
    <w:rsid w:val="000C1F8B"/>
    <w:rsid w:val="000C3363"/>
    <w:rsid w:val="000C3392"/>
    <w:rsid w:val="000C4A3E"/>
    <w:rsid w:val="000C4B70"/>
    <w:rsid w:val="000C5CBA"/>
    <w:rsid w:val="000C5E0E"/>
    <w:rsid w:val="000C5E58"/>
    <w:rsid w:val="000C64AF"/>
    <w:rsid w:val="000C6EEC"/>
    <w:rsid w:val="000C6FDF"/>
    <w:rsid w:val="000C79C7"/>
    <w:rsid w:val="000C7A73"/>
    <w:rsid w:val="000D11A7"/>
    <w:rsid w:val="000D11BB"/>
    <w:rsid w:val="000D230C"/>
    <w:rsid w:val="000D2A11"/>
    <w:rsid w:val="000D4138"/>
    <w:rsid w:val="000D506C"/>
    <w:rsid w:val="000D7408"/>
    <w:rsid w:val="000D764A"/>
    <w:rsid w:val="000E0293"/>
    <w:rsid w:val="000E05F4"/>
    <w:rsid w:val="000E0DA5"/>
    <w:rsid w:val="000E0E5D"/>
    <w:rsid w:val="000E14A4"/>
    <w:rsid w:val="000E1EB6"/>
    <w:rsid w:val="000E3383"/>
    <w:rsid w:val="000E363D"/>
    <w:rsid w:val="000E371F"/>
    <w:rsid w:val="000E384A"/>
    <w:rsid w:val="000E3AC9"/>
    <w:rsid w:val="000E3B18"/>
    <w:rsid w:val="000E3D72"/>
    <w:rsid w:val="000E4023"/>
    <w:rsid w:val="000E4A90"/>
    <w:rsid w:val="000E53AA"/>
    <w:rsid w:val="000E5D43"/>
    <w:rsid w:val="000E75F5"/>
    <w:rsid w:val="000E7937"/>
    <w:rsid w:val="000F039D"/>
    <w:rsid w:val="000F18AD"/>
    <w:rsid w:val="000F1CAA"/>
    <w:rsid w:val="000F2385"/>
    <w:rsid w:val="000F3093"/>
    <w:rsid w:val="000F460E"/>
    <w:rsid w:val="000F52DF"/>
    <w:rsid w:val="000F5BBA"/>
    <w:rsid w:val="000F6E37"/>
    <w:rsid w:val="000F7A72"/>
    <w:rsid w:val="001015EB"/>
    <w:rsid w:val="00101AAC"/>
    <w:rsid w:val="00101F4A"/>
    <w:rsid w:val="00103CD3"/>
    <w:rsid w:val="001044A4"/>
    <w:rsid w:val="001065AC"/>
    <w:rsid w:val="00106641"/>
    <w:rsid w:val="0010685D"/>
    <w:rsid w:val="00107D51"/>
    <w:rsid w:val="00107FA8"/>
    <w:rsid w:val="001106AD"/>
    <w:rsid w:val="001110F1"/>
    <w:rsid w:val="00112151"/>
    <w:rsid w:val="00113D59"/>
    <w:rsid w:val="001144DE"/>
    <w:rsid w:val="001146B0"/>
    <w:rsid w:val="00114FC2"/>
    <w:rsid w:val="001155D4"/>
    <w:rsid w:val="00115A48"/>
    <w:rsid w:val="0011616A"/>
    <w:rsid w:val="00116668"/>
    <w:rsid w:val="00117684"/>
    <w:rsid w:val="00117784"/>
    <w:rsid w:val="00117C25"/>
    <w:rsid w:val="00121368"/>
    <w:rsid w:val="001214C5"/>
    <w:rsid w:val="0012181B"/>
    <w:rsid w:val="00122262"/>
    <w:rsid w:val="001236BD"/>
    <w:rsid w:val="00123EAA"/>
    <w:rsid w:val="00124214"/>
    <w:rsid w:val="00125361"/>
    <w:rsid w:val="00127360"/>
    <w:rsid w:val="001273C1"/>
    <w:rsid w:val="00127429"/>
    <w:rsid w:val="00130D89"/>
    <w:rsid w:val="001310DB"/>
    <w:rsid w:val="001313AF"/>
    <w:rsid w:val="00131599"/>
    <w:rsid w:val="00133B3A"/>
    <w:rsid w:val="00134A67"/>
    <w:rsid w:val="00134D8C"/>
    <w:rsid w:val="00135200"/>
    <w:rsid w:val="00135915"/>
    <w:rsid w:val="001361EB"/>
    <w:rsid w:val="00136706"/>
    <w:rsid w:val="00136A12"/>
    <w:rsid w:val="00136A6E"/>
    <w:rsid w:val="00136BB3"/>
    <w:rsid w:val="00137429"/>
    <w:rsid w:val="00137711"/>
    <w:rsid w:val="0013795D"/>
    <w:rsid w:val="00137B91"/>
    <w:rsid w:val="00137FED"/>
    <w:rsid w:val="00140318"/>
    <w:rsid w:val="00140B29"/>
    <w:rsid w:val="0014120B"/>
    <w:rsid w:val="00142077"/>
    <w:rsid w:val="00142189"/>
    <w:rsid w:val="001421B0"/>
    <w:rsid w:val="00143D92"/>
    <w:rsid w:val="00144014"/>
    <w:rsid w:val="001445A8"/>
    <w:rsid w:val="0014564B"/>
    <w:rsid w:val="00146C71"/>
    <w:rsid w:val="00147370"/>
    <w:rsid w:val="001479C1"/>
    <w:rsid w:val="00150586"/>
    <w:rsid w:val="00150626"/>
    <w:rsid w:val="0015106B"/>
    <w:rsid w:val="001526AA"/>
    <w:rsid w:val="00152F95"/>
    <w:rsid w:val="00153618"/>
    <w:rsid w:val="00153B9B"/>
    <w:rsid w:val="00153FA9"/>
    <w:rsid w:val="00154307"/>
    <w:rsid w:val="0015540F"/>
    <w:rsid w:val="0015622A"/>
    <w:rsid w:val="00156387"/>
    <w:rsid w:val="00156C09"/>
    <w:rsid w:val="001602D0"/>
    <w:rsid w:val="00160997"/>
    <w:rsid w:val="00162ECD"/>
    <w:rsid w:val="001635E1"/>
    <w:rsid w:val="001640FF"/>
    <w:rsid w:val="00164FBC"/>
    <w:rsid w:val="00165482"/>
    <w:rsid w:val="00165FC3"/>
    <w:rsid w:val="001663B1"/>
    <w:rsid w:val="00166ADF"/>
    <w:rsid w:val="00167867"/>
    <w:rsid w:val="00170640"/>
    <w:rsid w:val="00170985"/>
    <w:rsid w:val="00170B09"/>
    <w:rsid w:val="00171353"/>
    <w:rsid w:val="001722C1"/>
    <w:rsid w:val="00173056"/>
    <w:rsid w:val="00174712"/>
    <w:rsid w:val="0017496F"/>
    <w:rsid w:val="00174FA7"/>
    <w:rsid w:val="00176113"/>
    <w:rsid w:val="0017622E"/>
    <w:rsid w:val="00176476"/>
    <w:rsid w:val="00176AC2"/>
    <w:rsid w:val="00176FB9"/>
    <w:rsid w:val="00177C4B"/>
    <w:rsid w:val="00180384"/>
    <w:rsid w:val="001803F1"/>
    <w:rsid w:val="00181748"/>
    <w:rsid w:val="00181ECD"/>
    <w:rsid w:val="00181EFE"/>
    <w:rsid w:val="00182C2F"/>
    <w:rsid w:val="0018340F"/>
    <w:rsid w:val="00184552"/>
    <w:rsid w:val="00185FE7"/>
    <w:rsid w:val="00186669"/>
    <w:rsid w:val="00187627"/>
    <w:rsid w:val="001903F1"/>
    <w:rsid w:val="00190946"/>
    <w:rsid w:val="00190A2F"/>
    <w:rsid w:val="00190FD9"/>
    <w:rsid w:val="00191B7E"/>
    <w:rsid w:val="00192889"/>
    <w:rsid w:val="001928A6"/>
    <w:rsid w:val="001937C0"/>
    <w:rsid w:val="00193A91"/>
    <w:rsid w:val="00194366"/>
    <w:rsid w:val="00196318"/>
    <w:rsid w:val="001970CD"/>
    <w:rsid w:val="001974AA"/>
    <w:rsid w:val="001A016A"/>
    <w:rsid w:val="001A034C"/>
    <w:rsid w:val="001A0670"/>
    <w:rsid w:val="001A0918"/>
    <w:rsid w:val="001A0A91"/>
    <w:rsid w:val="001A1222"/>
    <w:rsid w:val="001A1A0C"/>
    <w:rsid w:val="001A2336"/>
    <w:rsid w:val="001A5753"/>
    <w:rsid w:val="001A64A9"/>
    <w:rsid w:val="001A64B9"/>
    <w:rsid w:val="001A7378"/>
    <w:rsid w:val="001A7833"/>
    <w:rsid w:val="001B148B"/>
    <w:rsid w:val="001B1738"/>
    <w:rsid w:val="001B27D5"/>
    <w:rsid w:val="001B4297"/>
    <w:rsid w:val="001B43EB"/>
    <w:rsid w:val="001B5072"/>
    <w:rsid w:val="001B5ECD"/>
    <w:rsid w:val="001B6340"/>
    <w:rsid w:val="001B635E"/>
    <w:rsid w:val="001B6A2F"/>
    <w:rsid w:val="001B6A63"/>
    <w:rsid w:val="001B7541"/>
    <w:rsid w:val="001C0606"/>
    <w:rsid w:val="001C0B8A"/>
    <w:rsid w:val="001C0D92"/>
    <w:rsid w:val="001C0DDF"/>
    <w:rsid w:val="001C1DE3"/>
    <w:rsid w:val="001C1E87"/>
    <w:rsid w:val="001C2D69"/>
    <w:rsid w:val="001C3046"/>
    <w:rsid w:val="001C3903"/>
    <w:rsid w:val="001C3C41"/>
    <w:rsid w:val="001C5002"/>
    <w:rsid w:val="001C5013"/>
    <w:rsid w:val="001C562F"/>
    <w:rsid w:val="001C63E3"/>
    <w:rsid w:val="001C7A2C"/>
    <w:rsid w:val="001D091A"/>
    <w:rsid w:val="001D0BB3"/>
    <w:rsid w:val="001D0E91"/>
    <w:rsid w:val="001D25F1"/>
    <w:rsid w:val="001D30EE"/>
    <w:rsid w:val="001D328F"/>
    <w:rsid w:val="001D35D4"/>
    <w:rsid w:val="001D42C0"/>
    <w:rsid w:val="001D4F74"/>
    <w:rsid w:val="001D55DB"/>
    <w:rsid w:val="001D5664"/>
    <w:rsid w:val="001D5976"/>
    <w:rsid w:val="001D5C74"/>
    <w:rsid w:val="001D684B"/>
    <w:rsid w:val="001D6ADA"/>
    <w:rsid w:val="001D7491"/>
    <w:rsid w:val="001D782F"/>
    <w:rsid w:val="001D7C5C"/>
    <w:rsid w:val="001E0800"/>
    <w:rsid w:val="001E1B8D"/>
    <w:rsid w:val="001E2776"/>
    <w:rsid w:val="001E2929"/>
    <w:rsid w:val="001E3D26"/>
    <w:rsid w:val="001E5182"/>
    <w:rsid w:val="001E5249"/>
    <w:rsid w:val="001E6690"/>
    <w:rsid w:val="001E6D1C"/>
    <w:rsid w:val="001E6D39"/>
    <w:rsid w:val="001E6DE1"/>
    <w:rsid w:val="001E74F1"/>
    <w:rsid w:val="001E753C"/>
    <w:rsid w:val="001F055B"/>
    <w:rsid w:val="001F0A7B"/>
    <w:rsid w:val="001F0A8B"/>
    <w:rsid w:val="001F0ADE"/>
    <w:rsid w:val="001F0AFB"/>
    <w:rsid w:val="001F1E1C"/>
    <w:rsid w:val="001F364F"/>
    <w:rsid w:val="001F447E"/>
    <w:rsid w:val="001F575C"/>
    <w:rsid w:val="001F5820"/>
    <w:rsid w:val="001F58CA"/>
    <w:rsid w:val="001F610B"/>
    <w:rsid w:val="001F7031"/>
    <w:rsid w:val="001F7095"/>
    <w:rsid w:val="001F7589"/>
    <w:rsid w:val="00200293"/>
    <w:rsid w:val="002003D3"/>
    <w:rsid w:val="00200631"/>
    <w:rsid w:val="00200F32"/>
    <w:rsid w:val="00201F11"/>
    <w:rsid w:val="00202474"/>
    <w:rsid w:val="00202E71"/>
    <w:rsid w:val="002031B4"/>
    <w:rsid w:val="00203653"/>
    <w:rsid w:val="00203DE7"/>
    <w:rsid w:val="00204579"/>
    <w:rsid w:val="00205832"/>
    <w:rsid w:val="002062B0"/>
    <w:rsid w:val="00207851"/>
    <w:rsid w:val="0021006E"/>
    <w:rsid w:val="002100D8"/>
    <w:rsid w:val="00210381"/>
    <w:rsid w:val="00210ADB"/>
    <w:rsid w:val="00210EF1"/>
    <w:rsid w:val="0021100F"/>
    <w:rsid w:val="0021140D"/>
    <w:rsid w:val="0021216D"/>
    <w:rsid w:val="0021329B"/>
    <w:rsid w:val="00213548"/>
    <w:rsid w:val="002149D8"/>
    <w:rsid w:val="00215ED9"/>
    <w:rsid w:val="00215F57"/>
    <w:rsid w:val="002168EB"/>
    <w:rsid w:val="00216FA5"/>
    <w:rsid w:val="002207FD"/>
    <w:rsid w:val="00220E67"/>
    <w:rsid w:val="0022111D"/>
    <w:rsid w:val="00221167"/>
    <w:rsid w:val="002213FA"/>
    <w:rsid w:val="00221E8E"/>
    <w:rsid w:val="00221EEA"/>
    <w:rsid w:val="002228E4"/>
    <w:rsid w:val="00222D57"/>
    <w:rsid w:val="00222E75"/>
    <w:rsid w:val="00223757"/>
    <w:rsid w:val="00223D03"/>
    <w:rsid w:val="00226BCE"/>
    <w:rsid w:val="00226C64"/>
    <w:rsid w:val="002270E0"/>
    <w:rsid w:val="002277AB"/>
    <w:rsid w:val="00227BC0"/>
    <w:rsid w:val="00230AC7"/>
    <w:rsid w:val="00230C8F"/>
    <w:rsid w:val="002315AC"/>
    <w:rsid w:val="00231C16"/>
    <w:rsid w:val="0023246E"/>
    <w:rsid w:val="00233035"/>
    <w:rsid w:val="002333EF"/>
    <w:rsid w:val="002335C6"/>
    <w:rsid w:val="00233D14"/>
    <w:rsid w:val="0023530A"/>
    <w:rsid w:val="00235F7C"/>
    <w:rsid w:val="00236C63"/>
    <w:rsid w:val="00237BC0"/>
    <w:rsid w:val="00240986"/>
    <w:rsid w:val="00241A57"/>
    <w:rsid w:val="0024232F"/>
    <w:rsid w:val="00242AEE"/>
    <w:rsid w:val="00242DCE"/>
    <w:rsid w:val="002434E0"/>
    <w:rsid w:val="002451D2"/>
    <w:rsid w:val="00245221"/>
    <w:rsid w:val="00245553"/>
    <w:rsid w:val="00245E3C"/>
    <w:rsid w:val="00246082"/>
    <w:rsid w:val="00246A47"/>
    <w:rsid w:val="00246A79"/>
    <w:rsid w:val="00246AD3"/>
    <w:rsid w:val="00247528"/>
    <w:rsid w:val="002476EF"/>
    <w:rsid w:val="002479BF"/>
    <w:rsid w:val="002504BA"/>
    <w:rsid w:val="00250B55"/>
    <w:rsid w:val="00251554"/>
    <w:rsid w:val="0025231E"/>
    <w:rsid w:val="0025243C"/>
    <w:rsid w:val="0025332D"/>
    <w:rsid w:val="00253764"/>
    <w:rsid w:val="00253DDB"/>
    <w:rsid w:val="00255AD5"/>
    <w:rsid w:val="00255B4E"/>
    <w:rsid w:val="00255CF4"/>
    <w:rsid w:val="00255DF9"/>
    <w:rsid w:val="002568D3"/>
    <w:rsid w:val="0025697F"/>
    <w:rsid w:val="00256DC6"/>
    <w:rsid w:val="00257239"/>
    <w:rsid w:val="0025733F"/>
    <w:rsid w:val="002574F5"/>
    <w:rsid w:val="0025794E"/>
    <w:rsid w:val="00257A41"/>
    <w:rsid w:val="00257C12"/>
    <w:rsid w:val="002606EA"/>
    <w:rsid w:val="00260C59"/>
    <w:rsid w:val="00261257"/>
    <w:rsid w:val="0026190E"/>
    <w:rsid w:val="00261C73"/>
    <w:rsid w:val="0026326C"/>
    <w:rsid w:val="00264E29"/>
    <w:rsid w:val="002656A2"/>
    <w:rsid w:val="00266E50"/>
    <w:rsid w:val="0026715A"/>
    <w:rsid w:val="0026770D"/>
    <w:rsid w:val="00267833"/>
    <w:rsid w:val="002702FA"/>
    <w:rsid w:val="0027118C"/>
    <w:rsid w:val="00271406"/>
    <w:rsid w:val="00271AE8"/>
    <w:rsid w:val="00272229"/>
    <w:rsid w:val="002727F7"/>
    <w:rsid w:val="00272861"/>
    <w:rsid w:val="00272991"/>
    <w:rsid w:val="00273C98"/>
    <w:rsid w:val="00273E05"/>
    <w:rsid w:val="002747B0"/>
    <w:rsid w:val="0027506C"/>
    <w:rsid w:val="00275C73"/>
    <w:rsid w:val="00276011"/>
    <w:rsid w:val="00276409"/>
    <w:rsid w:val="002764F3"/>
    <w:rsid w:val="002766B3"/>
    <w:rsid w:val="00276E3F"/>
    <w:rsid w:val="002778ED"/>
    <w:rsid w:val="00277FF9"/>
    <w:rsid w:val="002806C4"/>
    <w:rsid w:val="00281945"/>
    <w:rsid w:val="002827BF"/>
    <w:rsid w:val="00282BE9"/>
    <w:rsid w:val="002837A5"/>
    <w:rsid w:val="00284395"/>
    <w:rsid w:val="002843F9"/>
    <w:rsid w:val="0028448D"/>
    <w:rsid w:val="0028501F"/>
    <w:rsid w:val="0028531D"/>
    <w:rsid w:val="00285352"/>
    <w:rsid w:val="002861BF"/>
    <w:rsid w:val="0028674A"/>
    <w:rsid w:val="00286779"/>
    <w:rsid w:val="00286BF8"/>
    <w:rsid w:val="00290718"/>
    <w:rsid w:val="00291167"/>
    <w:rsid w:val="002918FF"/>
    <w:rsid w:val="00291B47"/>
    <w:rsid w:val="0029240F"/>
    <w:rsid w:val="00292727"/>
    <w:rsid w:val="00293390"/>
    <w:rsid w:val="0029605A"/>
    <w:rsid w:val="00296247"/>
    <w:rsid w:val="00296958"/>
    <w:rsid w:val="00296C8F"/>
    <w:rsid w:val="00296F40"/>
    <w:rsid w:val="00296FDD"/>
    <w:rsid w:val="00297059"/>
    <w:rsid w:val="0029724E"/>
    <w:rsid w:val="0029797A"/>
    <w:rsid w:val="002A109A"/>
    <w:rsid w:val="002A1231"/>
    <w:rsid w:val="002A1741"/>
    <w:rsid w:val="002A182F"/>
    <w:rsid w:val="002A1DD8"/>
    <w:rsid w:val="002A210E"/>
    <w:rsid w:val="002A36E5"/>
    <w:rsid w:val="002A476B"/>
    <w:rsid w:val="002A560B"/>
    <w:rsid w:val="002A5B33"/>
    <w:rsid w:val="002A63FC"/>
    <w:rsid w:val="002A7097"/>
    <w:rsid w:val="002A71FD"/>
    <w:rsid w:val="002A72E3"/>
    <w:rsid w:val="002A7556"/>
    <w:rsid w:val="002A779C"/>
    <w:rsid w:val="002B05E1"/>
    <w:rsid w:val="002B0B4E"/>
    <w:rsid w:val="002B18B8"/>
    <w:rsid w:val="002B18D5"/>
    <w:rsid w:val="002B1B84"/>
    <w:rsid w:val="002B1D26"/>
    <w:rsid w:val="002B220E"/>
    <w:rsid w:val="002B292E"/>
    <w:rsid w:val="002B2C1C"/>
    <w:rsid w:val="002B382B"/>
    <w:rsid w:val="002B3926"/>
    <w:rsid w:val="002B3C87"/>
    <w:rsid w:val="002B3E8B"/>
    <w:rsid w:val="002B4B28"/>
    <w:rsid w:val="002B5603"/>
    <w:rsid w:val="002B6446"/>
    <w:rsid w:val="002B6AC5"/>
    <w:rsid w:val="002B6C95"/>
    <w:rsid w:val="002B6CC4"/>
    <w:rsid w:val="002B71BB"/>
    <w:rsid w:val="002C0924"/>
    <w:rsid w:val="002C0945"/>
    <w:rsid w:val="002C1A64"/>
    <w:rsid w:val="002C3110"/>
    <w:rsid w:val="002C38C7"/>
    <w:rsid w:val="002C457D"/>
    <w:rsid w:val="002C4640"/>
    <w:rsid w:val="002C5165"/>
    <w:rsid w:val="002C68C2"/>
    <w:rsid w:val="002C6944"/>
    <w:rsid w:val="002C70BB"/>
    <w:rsid w:val="002C7790"/>
    <w:rsid w:val="002D17C1"/>
    <w:rsid w:val="002D1C10"/>
    <w:rsid w:val="002D1DE6"/>
    <w:rsid w:val="002D235B"/>
    <w:rsid w:val="002D406E"/>
    <w:rsid w:val="002D4294"/>
    <w:rsid w:val="002D4EC2"/>
    <w:rsid w:val="002D593A"/>
    <w:rsid w:val="002D5ECA"/>
    <w:rsid w:val="002D62E1"/>
    <w:rsid w:val="002D6A83"/>
    <w:rsid w:val="002D766B"/>
    <w:rsid w:val="002D7764"/>
    <w:rsid w:val="002D7AD7"/>
    <w:rsid w:val="002E37C2"/>
    <w:rsid w:val="002E471B"/>
    <w:rsid w:val="002E5D0D"/>
    <w:rsid w:val="002E6C16"/>
    <w:rsid w:val="002E6C22"/>
    <w:rsid w:val="002E7A41"/>
    <w:rsid w:val="002F02D8"/>
    <w:rsid w:val="002F039E"/>
    <w:rsid w:val="002F0956"/>
    <w:rsid w:val="002F1C18"/>
    <w:rsid w:val="002F1D4D"/>
    <w:rsid w:val="002F2269"/>
    <w:rsid w:val="002F3ABE"/>
    <w:rsid w:val="002F4215"/>
    <w:rsid w:val="002F4664"/>
    <w:rsid w:val="002F496A"/>
    <w:rsid w:val="002F5534"/>
    <w:rsid w:val="002F5F6F"/>
    <w:rsid w:val="002F659E"/>
    <w:rsid w:val="002F68C4"/>
    <w:rsid w:val="00300149"/>
    <w:rsid w:val="00300D12"/>
    <w:rsid w:val="00301E32"/>
    <w:rsid w:val="00302C64"/>
    <w:rsid w:val="00303145"/>
    <w:rsid w:val="00303C76"/>
    <w:rsid w:val="003040C6"/>
    <w:rsid w:val="0030750D"/>
    <w:rsid w:val="00310DB1"/>
    <w:rsid w:val="0031138C"/>
    <w:rsid w:val="003130EE"/>
    <w:rsid w:val="00313804"/>
    <w:rsid w:val="00314A6E"/>
    <w:rsid w:val="00314B32"/>
    <w:rsid w:val="00314F6B"/>
    <w:rsid w:val="003153DC"/>
    <w:rsid w:val="00315874"/>
    <w:rsid w:val="00315AF1"/>
    <w:rsid w:val="00315CEC"/>
    <w:rsid w:val="00315FDB"/>
    <w:rsid w:val="00316B6B"/>
    <w:rsid w:val="00316E35"/>
    <w:rsid w:val="00320207"/>
    <w:rsid w:val="003207BB"/>
    <w:rsid w:val="00320AA3"/>
    <w:rsid w:val="00321512"/>
    <w:rsid w:val="00321A37"/>
    <w:rsid w:val="00323BC4"/>
    <w:rsid w:val="00323D06"/>
    <w:rsid w:val="00323DA0"/>
    <w:rsid w:val="003244D2"/>
    <w:rsid w:val="00324571"/>
    <w:rsid w:val="003253E8"/>
    <w:rsid w:val="00326A9E"/>
    <w:rsid w:val="003271E6"/>
    <w:rsid w:val="00331D18"/>
    <w:rsid w:val="00332937"/>
    <w:rsid w:val="003332DE"/>
    <w:rsid w:val="00333B1D"/>
    <w:rsid w:val="00333D8C"/>
    <w:rsid w:val="00334149"/>
    <w:rsid w:val="0033520C"/>
    <w:rsid w:val="0033643D"/>
    <w:rsid w:val="00336658"/>
    <w:rsid w:val="0033690C"/>
    <w:rsid w:val="00336C46"/>
    <w:rsid w:val="00336E38"/>
    <w:rsid w:val="00336FF7"/>
    <w:rsid w:val="0033756D"/>
    <w:rsid w:val="003376BE"/>
    <w:rsid w:val="00337C75"/>
    <w:rsid w:val="0034051F"/>
    <w:rsid w:val="00340A2C"/>
    <w:rsid w:val="00340A54"/>
    <w:rsid w:val="00341291"/>
    <w:rsid w:val="00341326"/>
    <w:rsid w:val="003415BE"/>
    <w:rsid w:val="00343496"/>
    <w:rsid w:val="003434CE"/>
    <w:rsid w:val="003438C0"/>
    <w:rsid w:val="00344F99"/>
    <w:rsid w:val="00345CC2"/>
    <w:rsid w:val="0034624F"/>
    <w:rsid w:val="003466B8"/>
    <w:rsid w:val="00346A1D"/>
    <w:rsid w:val="00346C6A"/>
    <w:rsid w:val="003470DD"/>
    <w:rsid w:val="00347479"/>
    <w:rsid w:val="0035044E"/>
    <w:rsid w:val="0035180F"/>
    <w:rsid w:val="00352C80"/>
    <w:rsid w:val="00352F61"/>
    <w:rsid w:val="003531A1"/>
    <w:rsid w:val="003544AE"/>
    <w:rsid w:val="00355109"/>
    <w:rsid w:val="00355CD7"/>
    <w:rsid w:val="003560F9"/>
    <w:rsid w:val="00356AF5"/>
    <w:rsid w:val="003571CA"/>
    <w:rsid w:val="0035783F"/>
    <w:rsid w:val="003603A0"/>
    <w:rsid w:val="0036054D"/>
    <w:rsid w:val="00360DA6"/>
    <w:rsid w:val="00360FDF"/>
    <w:rsid w:val="003610FA"/>
    <w:rsid w:val="00361391"/>
    <w:rsid w:val="003615BC"/>
    <w:rsid w:val="00361F31"/>
    <w:rsid w:val="0036215F"/>
    <w:rsid w:val="00362407"/>
    <w:rsid w:val="003632C2"/>
    <w:rsid w:val="00364BF2"/>
    <w:rsid w:val="003664DF"/>
    <w:rsid w:val="00366C89"/>
    <w:rsid w:val="003679AA"/>
    <w:rsid w:val="00367D6D"/>
    <w:rsid w:val="00370EDD"/>
    <w:rsid w:val="00371DDF"/>
    <w:rsid w:val="00372353"/>
    <w:rsid w:val="0037278D"/>
    <w:rsid w:val="00373013"/>
    <w:rsid w:val="00373396"/>
    <w:rsid w:val="003738B6"/>
    <w:rsid w:val="00373948"/>
    <w:rsid w:val="00374317"/>
    <w:rsid w:val="003764E2"/>
    <w:rsid w:val="0037660F"/>
    <w:rsid w:val="003766CC"/>
    <w:rsid w:val="003768D8"/>
    <w:rsid w:val="00376D78"/>
    <w:rsid w:val="00381521"/>
    <w:rsid w:val="00381888"/>
    <w:rsid w:val="0038195C"/>
    <w:rsid w:val="00382065"/>
    <w:rsid w:val="003829B0"/>
    <w:rsid w:val="00383A84"/>
    <w:rsid w:val="003844FE"/>
    <w:rsid w:val="00384AD9"/>
    <w:rsid w:val="00384CE3"/>
    <w:rsid w:val="00384D95"/>
    <w:rsid w:val="003856EF"/>
    <w:rsid w:val="0038644F"/>
    <w:rsid w:val="00386C84"/>
    <w:rsid w:val="003875E7"/>
    <w:rsid w:val="00387A8A"/>
    <w:rsid w:val="00390440"/>
    <w:rsid w:val="00390C55"/>
    <w:rsid w:val="00390C99"/>
    <w:rsid w:val="00391801"/>
    <w:rsid w:val="003919D4"/>
    <w:rsid w:val="003927EE"/>
    <w:rsid w:val="00393509"/>
    <w:rsid w:val="003938C8"/>
    <w:rsid w:val="00395A14"/>
    <w:rsid w:val="00396788"/>
    <w:rsid w:val="003971BB"/>
    <w:rsid w:val="003A309A"/>
    <w:rsid w:val="003A368A"/>
    <w:rsid w:val="003A4CFC"/>
    <w:rsid w:val="003A5E96"/>
    <w:rsid w:val="003A6236"/>
    <w:rsid w:val="003A62F5"/>
    <w:rsid w:val="003A699D"/>
    <w:rsid w:val="003A6AE7"/>
    <w:rsid w:val="003A6B90"/>
    <w:rsid w:val="003A6CCC"/>
    <w:rsid w:val="003A6E11"/>
    <w:rsid w:val="003A7973"/>
    <w:rsid w:val="003B2589"/>
    <w:rsid w:val="003B275F"/>
    <w:rsid w:val="003B3EB7"/>
    <w:rsid w:val="003B47D4"/>
    <w:rsid w:val="003B491D"/>
    <w:rsid w:val="003B4BF1"/>
    <w:rsid w:val="003B544E"/>
    <w:rsid w:val="003B605A"/>
    <w:rsid w:val="003B68A9"/>
    <w:rsid w:val="003B7E5F"/>
    <w:rsid w:val="003C0EEB"/>
    <w:rsid w:val="003C1F7B"/>
    <w:rsid w:val="003C219A"/>
    <w:rsid w:val="003C328B"/>
    <w:rsid w:val="003C3F59"/>
    <w:rsid w:val="003C4360"/>
    <w:rsid w:val="003C468F"/>
    <w:rsid w:val="003C4E2C"/>
    <w:rsid w:val="003C5547"/>
    <w:rsid w:val="003C5830"/>
    <w:rsid w:val="003C58B6"/>
    <w:rsid w:val="003C6214"/>
    <w:rsid w:val="003C65E5"/>
    <w:rsid w:val="003D0BC4"/>
    <w:rsid w:val="003D17B7"/>
    <w:rsid w:val="003D1845"/>
    <w:rsid w:val="003D18A6"/>
    <w:rsid w:val="003D1B9E"/>
    <w:rsid w:val="003D1BDE"/>
    <w:rsid w:val="003D1E9B"/>
    <w:rsid w:val="003D2E5E"/>
    <w:rsid w:val="003D3C18"/>
    <w:rsid w:val="003D49A8"/>
    <w:rsid w:val="003D4BBD"/>
    <w:rsid w:val="003D4DEF"/>
    <w:rsid w:val="003D541F"/>
    <w:rsid w:val="003D5788"/>
    <w:rsid w:val="003D71D5"/>
    <w:rsid w:val="003D72CB"/>
    <w:rsid w:val="003D7D28"/>
    <w:rsid w:val="003E01BE"/>
    <w:rsid w:val="003E0A6F"/>
    <w:rsid w:val="003E1EA2"/>
    <w:rsid w:val="003E305E"/>
    <w:rsid w:val="003E3885"/>
    <w:rsid w:val="003E4218"/>
    <w:rsid w:val="003E47B6"/>
    <w:rsid w:val="003E5602"/>
    <w:rsid w:val="003E6743"/>
    <w:rsid w:val="003E6A0F"/>
    <w:rsid w:val="003E7CF5"/>
    <w:rsid w:val="003E7F4A"/>
    <w:rsid w:val="003F03B8"/>
    <w:rsid w:val="003F1234"/>
    <w:rsid w:val="003F1B15"/>
    <w:rsid w:val="003F1F85"/>
    <w:rsid w:val="003F321F"/>
    <w:rsid w:val="003F47A9"/>
    <w:rsid w:val="003F4E58"/>
    <w:rsid w:val="003F591A"/>
    <w:rsid w:val="003F5B1F"/>
    <w:rsid w:val="003F623D"/>
    <w:rsid w:val="003F7D9C"/>
    <w:rsid w:val="004002B7"/>
    <w:rsid w:val="0040089C"/>
    <w:rsid w:val="00400AE9"/>
    <w:rsid w:val="00401423"/>
    <w:rsid w:val="00401474"/>
    <w:rsid w:val="004017B6"/>
    <w:rsid w:val="00401C7E"/>
    <w:rsid w:val="00402121"/>
    <w:rsid w:val="0040242E"/>
    <w:rsid w:val="00402511"/>
    <w:rsid w:val="00402989"/>
    <w:rsid w:val="004029AD"/>
    <w:rsid w:val="00402A7F"/>
    <w:rsid w:val="00403991"/>
    <w:rsid w:val="00403C4F"/>
    <w:rsid w:val="00405BB2"/>
    <w:rsid w:val="00406178"/>
    <w:rsid w:val="004061CB"/>
    <w:rsid w:val="00406378"/>
    <w:rsid w:val="0040676A"/>
    <w:rsid w:val="004069DB"/>
    <w:rsid w:val="00406E4B"/>
    <w:rsid w:val="00407472"/>
    <w:rsid w:val="00410FE1"/>
    <w:rsid w:val="004113E7"/>
    <w:rsid w:val="00411B61"/>
    <w:rsid w:val="0041248A"/>
    <w:rsid w:val="00412EE3"/>
    <w:rsid w:val="00413D88"/>
    <w:rsid w:val="004141E8"/>
    <w:rsid w:val="00414B0E"/>
    <w:rsid w:val="0041509D"/>
    <w:rsid w:val="004154CF"/>
    <w:rsid w:val="004159D2"/>
    <w:rsid w:val="0041665E"/>
    <w:rsid w:val="00416757"/>
    <w:rsid w:val="00417464"/>
    <w:rsid w:val="004200AC"/>
    <w:rsid w:val="004201E5"/>
    <w:rsid w:val="004205FC"/>
    <w:rsid w:val="0042071A"/>
    <w:rsid w:val="00420B67"/>
    <w:rsid w:val="00421435"/>
    <w:rsid w:val="004216A3"/>
    <w:rsid w:val="0042181F"/>
    <w:rsid w:val="0042231C"/>
    <w:rsid w:val="004230F5"/>
    <w:rsid w:val="00423204"/>
    <w:rsid w:val="00423492"/>
    <w:rsid w:val="0042487C"/>
    <w:rsid w:val="00425338"/>
    <w:rsid w:val="004256E4"/>
    <w:rsid w:val="00425D47"/>
    <w:rsid w:val="0042603A"/>
    <w:rsid w:val="00430327"/>
    <w:rsid w:val="00430E7D"/>
    <w:rsid w:val="0043100B"/>
    <w:rsid w:val="004311CC"/>
    <w:rsid w:val="00431600"/>
    <w:rsid w:val="00431F38"/>
    <w:rsid w:val="00432657"/>
    <w:rsid w:val="00432B7E"/>
    <w:rsid w:val="00432E1D"/>
    <w:rsid w:val="00432FDB"/>
    <w:rsid w:val="00433662"/>
    <w:rsid w:val="0043369C"/>
    <w:rsid w:val="00434011"/>
    <w:rsid w:val="00434257"/>
    <w:rsid w:val="00435692"/>
    <w:rsid w:val="00435B95"/>
    <w:rsid w:val="00435E9B"/>
    <w:rsid w:val="00435F45"/>
    <w:rsid w:val="004366D8"/>
    <w:rsid w:val="00437343"/>
    <w:rsid w:val="004373E7"/>
    <w:rsid w:val="00441356"/>
    <w:rsid w:val="0044451C"/>
    <w:rsid w:val="0044464D"/>
    <w:rsid w:val="0044559C"/>
    <w:rsid w:val="0044568E"/>
    <w:rsid w:val="00445BA7"/>
    <w:rsid w:val="00446E30"/>
    <w:rsid w:val="00446FAF"/>
    <w:rsid w:val="004475D5"/>
    <w:rsid w:val="00447CD7"/>
    <w:rsid w:val="00451284"/>
    <w:rsid w:val="004519C6"/>
    <w:rsid w:val="0045366E"/>
    <w:rsid w:val="00453A10"/>
    <w:rsid w:val="00454621"/>
    <w:rsid w:val="0045490F"/>
    <w:rsid w:val="004552D5"/>
    <w:rsid w:val="0045613E"/>
    <w:rsid w:val="004567E5"/>
    <w:rsid w:val="004600A0"/>
    <w:rsid w:val="004603E1"/>
    <w:rsid w:val="00460703"/>
    <w:rsid w:val="00460937"/>
    <w:rsid w:val="0046120B"/>
    <w:rsid w:val="00461C4B"/>
    <w:rsid w:val="004630CB"/>
    <w:rsid w:val="00463B61"/>
    <w:rsid w:val="00463FB9"/>
    <w:rsid w:val="00463FCF"/>
    <w:rsid w:val="004644F7"/>
    <w:rsid w:val="004652C4"/>
    <w:rsid w:val="004660AE"/>
    <w:rsid w:val="00466A39"/>
    <w:rsid w:val="00466B35"/>
    <w:rsid w:val="00467041"/>
    <w:rsid w:val="0046753D"/>
    <w:rsid w:val="004677B9"/>
    <w:rsid w:val="00467EB2"/>
    <w:rsid w:val="0047034B"/>
    <w:rsid w:val="004706D4"/>
    <w:rsid w:val="00471128"/>
    <w:rsid w:val="004725F3"/>
    <w:rsid w:val="00472A16"/>
    <w:rsid w:val="004730AB"/>
    <w:rsid w:val="004736B1"/>
    <w:rsid w:val="004738C3"/>
    <w:rsid w:val="00474482"/>
    <w:rsid w:val="00474735"/>
    <w:rsid w:val="00474F20"/>
    <w:rsid w:val="00476003"/>
    <w:rsid w:val="004763A0"/>
    <w:rsid w:val="0047659A"/>
    <w:rsid w:val="00477E92"/>
    <w:rsid w:val="0048028E"/>
    <w:rsid w:val="00480F22"/>
    <w:rsid w:val="004812F7"/>
    <w:rsid w:val="0048288D"/>
    <w:rsid w:val="00483D42"/>
    <w:rsid w:val="004842A5"/>
    <w:rsid w:val="00484F94"/>
    <w:rsid w:val="00485780"/>
    <w:rsid w:val="00485CBC"/>
    <w:rsid w:val="004864BD"/>
    <w:rsid w:val="00486F33"/>
    <w:rsid w:val="00487788"/>
    <w:rsid w:val="004904E1"/>
    <w:rsid w:val="004906E1"/>
    <w:rsid w:val="00490C9E"/>
    <w:rsid w:val="00490D73"/>
    <w:rsid w:val="004924D3"/>
    <w:rsid w:val="00492757"/>
    <w:rsid w:val="00492EAC"/>
    <w:rsid w:val="00492FEE"/>
    <w:rsid w:val="00493219"/>
    <w:rsid w:val="0049378A"/>
    <w:rsid w:val="00494020"/>
    <w:rsid w:val="00494D49"/>
    <w:rsid w:val="00495322"/>
    <w:rsid w:val="00495D1D"/>
    <w:rsid w:val="00496136"/>
    <w:rsid w:val="004966FA"/>
    <w:rsid w:val="00496877"/>
    <w:rsid w:val="00496A09"/>
    <w:rsid w:val="0049768E"/>
    <w:rsid w:val="00497F21"/>
    <w:rsid w:val="004A0242"/>
    <w:rsid w:val="004A0598"/>
    <w:rsid w:val="004A06CA"/>
    <w:rsid w:val="004A0A89"/>
    <w:rsid w:val="004A0F2A"/>
    <w:rsid w:val="004A1DE5"/>
    <w:rsid w:val="004A2199"/>
    <w:rsid w:val="004A267E"/>
    <w:rsid w:val="004A288D"/>
    <w:rsid w:val="004A28E7"/>
    <w:rsid w:val="004A3411"/>
    <w:rsid w:val="004A517D"/>
    <w:rsid w:val="004A5447"/>
    <w:rsid w:val="004A6F00"/>
    <w:rsid w:val="004A71EA"/>
    <w:rsid w:val="004A7506"/>
    <w:rsid w:val="004B0D73"/>
    <w:rsid w:val="004B2EF8"/>
    <w:rsid w:val="004B41EC"/>
    <w:rsid w:val="004B48F4"/>
    <w:rsid w:val="004B4F23"/>
    <w:rsid w:val="004B5D5C"/>
    <w:rsid w:val="004B7387"/>
    <w:rsid w:val="004B73FB"/>
    <w:rsid w:val="004C0606"/>
    <w:rsid w:val="004C13A4"/>
    <w:rsid w:val="004C1937"/>
    <w:rsid w:val="004C1F30"/>
    <w:rsid w:val="004C1F7A"/>
    <w:rsid w:val="004C23ED"/>
    <w:rsid w:val="004C3020"/>
    <w:rsid w:val="004C4DBB"/>
    <w:rsid w:val="004C5086"/>
    <w:rsid w:val="004C5648"/>
    <w:rsid w:val="004C5D9C"/>
    <w:rsid w:val="004C63B1"/>
    <w:rsid w:val="004C796A"/>
    <w:rsid w:val="004C7F75"/>
    <w:rsid w:val="004D07D5"/>
    <w:rsid w:val="004D0945"/>
    <w:rsid w:val="004D1F69"/>
    <w:rsid w:val="004D2940"/>
    <w:rsid w:val="004D29B6"/>
    <w:rsid w:val="004D2A0A"/>
    <w:rsid w:val="004D30F2"/>
    <w:rsid w:val="004D324E"/>
    <w:rsid w:val="004D3462"/>
    <w:rsid w:val="004D4247"/>
    <w:rsid w:val="004D5202"/>
    <w:rsid w:val="004D5FEC"/>
    <w:rsid w:val="004D642C"/>
    <w:rsid w:val="004D688E"/>
    <w:rsid w:val="004D7F5D"/>
    <w:rsid w:val="004E057F"/>
    <w:rsid w:val="004E08A6"/>
    <w:rsid w:val="004E11D5"/>
    <w:rsid w:val="004E15CC"/>
    <w:rsid w:val="004E16C2"/>
    <w:rsid w:val="004E3B4E"/>
    <w:rsid w:val="004E419B"/>
    <w:rsid w:val="004E44DB"/>
    <w:rsid w:val="004E4B6A"/>
    <w:rsid w:val="004E5954"/>
    <w:rsid w:val="004E5D2B"/>
    <w:rsid w:val="004E6DD1"/>
    <w:rsid w:val="004E77D1"/>
    <w:rsid w:val="004E785E"/>
    <w:rsid w:val="004E7BFF"/>
    <w:rsid w:val="004F0DE9"/>
    <w:rsid w:val="004F0E10"/>
    <w:rsid w:val="004F140E"/>
    <w:rsid w:val="004F19A4"/>
    <w:rsid w:val="004F1C45"/>
    <w:rsid w:val="004F234F"/>
    <w:rsid w:val="004F33C6"/>
    <w:rsid w:val="004F4047"/>
    <w:rsid w:val="004F4878"/>
    <w:rsid w:val="004F4889"/>
    <w:rsid w:val="004F4B82"/>
    <w:rsid w:val="004F4E37"/>
    <w:rsid w:val="004F563A"/>
    <w:rsid w:val="004F566B"/>
    <w:rsid w:val="004F58F5"/>
    <w:rsid w:val="004F5B37"/>
    <w:rsid w:val="004F6139"/>
    <w:rsid w:val="004F648D"/>
    <w:rsid w:val="004F6ADB"/>
    <w:rsid w:val="004F791A"/>
    <w:rsid w:val="004F7A99"/>
    <w:rsid w:val="004F7DA3"/>
    <w:rsid w:val="004F7FEF"/>
    <w:rsid w:val="00500792"/>
    <w:rsid w:val="00501BAB"/>
    <w:rsid w:val="00501EB1"/>
    <w:rsid w:val="0050241D"/>
    <w:rsid w:val="00502E46"/>
    <w:rsid w:val="0050476F"/>
    <w:rsid w:val="00504AB9"/>
    <w:rsid w:val="00504AD6"/>
    <w:rsid w:val="00505360"/>
    <w:rsid w:val="005060D5"/>
    <w:rsid w:val="0050610E"/>
    <w:rsid w:val="005062AE"/>
    <w:rsid w:val="005065DE"/>
    <w:rsid w:val="005074FE"/>
    <w:rsid w:val="00507595"/>
    <w:rsid w:val="00507954"/>
    <w:rsid w:val="00507BE5"/>
    <w:rsid w:val="0051007B"/>
    <w:rsid w:val="0051156D"/>
    <w:rsid w:val="00511E99"/>
    <w:rsid w:val="0051268C"/>
    <w:rsid w:val="00513877"/>
    <w:rsid w:val="00514662"/>
    <w:rsid w:val="00514C17"/>
    <w:rsid w:val="00516F1E"/>
    <w:rsid w:val="00517044"/>
    <w:rsid w:val="00517202"/>
    <w:rsid w:val="005202FB"/>
    <w:rsid w:val="0052042C"/>
    <w:rsid w:val="0052069D"/>
    <w:rsid w:val="005212CA"/>
    <w:rsid w:val="00521967"/>
    <w:rsid w:val="00521BD5"/>
    <w:rsid w:val="00522D2A"/>
    <w:rsid w:val="00522DB3"/>
    <w:rsid w:val="005241A2"/>
    <w:rsid w:val="00524788"/>
    <w:rsid w:val="00524B14"/>
    <w:rsid w:val="00525349"/>
    <w:rsid w:val="0052546A"/>
    <w:rsid w:val="00527835"/>
    <w:rsid w:val="00527ACC"/>
    <w:rsid w:val="0053146E"/>
    <w:rsid w:val="00531D69"/>
    <w:rsid w:val="00532404"/>
    <w:rsid w:val="0053261A"/>
    <w:rsid w:val="00533263"/>
    <w:rsid w:val="0053359E"/>
    <w:rsid w:val="005337F6"/>
    <w:rsid w:val="005350D0"/>
    <w:rsid w:val="00535C68"/>
    <w:rsid w:val="005360BC"/>
    <w:rsid w:val="00537D28"/>
    <w:rsid w:val="00537DB9"/>
    <w:rsid w:val="00540D26"/>
    <w:rsid w:val="005412B5"/>
    <w:rsid w:val="00541F0B"/>
    <w:rsid w:val="005429C0"/>
    <w:rsid w:val="005432A0"/>
    <w:rsid w:val="00543609"/>
    <w:rsid w:val="0054397D"/>
    <w:rsid w:val="00543A7A"/>
    <w:rsid w:val="00543B80"/>
    <w:rsid w:val="00543CE4"/>
    <w:rsid w:val="005446BF"/>
    <w:rsid w:val="00544A69"/>
    <w:rsid w:val="005453C3"/>
    <w:rsid w:val="0054666B"/>
    <w:rsid w:val="00546A49"/>
    <w:rsid w:val="00547134"/>
    <w:rsid w:val="00547BEC"/>
    <w:rsid w:val="00547DDC"/>
    <w:rsid w:val="005509B6"/>
    <w:rsid w:val="00551069"/>
    <w:rsid w:val="00551144"/>
    <w:rsid w:val="00551529"/>
    <w:rsid w:val="00551C32"/>
    <w:rsid w:val="00551E7F"/>
    <w:rsid w:val="005527A5"/>
    <w:rsid w:val="005534A9"/>
    <w:rsid w:val="005554BA"/>
    <w:rsid w:val="00555863"/>
    <w:rsid w:val="00555957"/>
    <w:rsid w:val="005566FE"/>
    <w:rsid w:val="0055761B"/>
    <w:rsid w:val="00557B52"/>
    <w:rsid w:val="00560C78"/>
    <w:rsid w:val="005611A5"/>
    <w:rsid w:val="0056270B"/>
    <w:rsid w:val="00562C25"/>
    <w:rsid w:val="00564E99"/>
    <w:rsid w:val="005651CB"/>
    <w:rsid w:val="00565FB1"/>
    <w:rsid w:val="00566371"/>
    <w:rsid w:val="0057034C"/>
    <w:rsid w:val="00571607"/>
    <w:rsid w:val="00572E87"/>
    <w:rsid w:val="00573B03"/>
    <w:rsid w:val="00573B0D"/>
    <w:rsid w:val="00573B14"/>
    <w:rsid w:val="005743ED"/>
    <w:rsid w:val="0057537C"/>
    <w:rsid w:val="00575773"/>
    <w:rsid w:val="00575AAC"/>
    <w:rsid w:val="0057749C"/>
    <w:rsid w:val="00580081"/>
    <w:rsid w:val="00580203"/>
    <w:rsid w:val="00581975"/>
    <w:rsid w:val="005830F1"/>
    <w:rsid w:val="00583734"/>
    <w:rsid w:val="00583ACF"/>
    <w:rsid w:val="00585D65"/>
    <w:rsid w:val="005900AB"/>
    <w:rsid w:val="005912C2"/>
    <w:rsid w:val="00591DEB"/>
    <w:rsid w:val="0059252D"/>
    <w:rsid w:val="005943B5"/>
    <w:rsid w:val="00594808"/>
    <w:rsid w:val="00594BC6"/>
    <w:rsid w:val="0059507D"/>
    <w:rsid w:val="00595CAB"/>
    <w:rsid w:val="00595DE2"/>
    <w:rsid w:val="00596290"/>
    <w:rsid w:val="005A0978"/>
    <w:rsid w:val="005A0A24"/>
    <w:rsid w:val="005A1D75"/>
    <w:rsid w:val="005A2566"/>
    <w:rsid w:val="005A44B5"/>
    <w:rsid w:val="005A4A24"/>
    <w:rsid w:val="005A5699"/>
    <w:rsid w:val="005B03F9"/>
    <w:rsid w:val="005B0580"/>
    <w:rsid w:val="005B1066"/>
    <w:rsid w:val="005B1272"/>
    <w:rsid w:val="005B1289"/>
    <w:rsid w:val="005B2E00"/>
    <w:rsid w:val="005B3027"/>
    <w:rsid w:val="005B479E"/>
    <w:rsid w:val="005B5679"/>
    <w:rsid w:val="005B5E57"/>
    <w:rsid w:val="005B6C3F"/>
    <w:rsid w:val="005B731B"/>
    <w:rsid w:val="005B7986"/>
    <w:rsid w:val="005C02C4"/>
    <w:rsid w:val="005C0640"/>
    <w:rsid w:val="005C2522"/>
    <w:rsid w:val="005C42A2"/>
    <w:rsid w:val="005C453A"/>
    <w:rsid w:val="005C463F"/>
    <w:rsid w:val="005C4758"/>
    <w:rsid w:val="005C5676"/>
    <w:rsid w:val="005C6EA0"/>
    <w:rsid w:val="005C732B"/>
    <w:rsid w:val="005C7FA8"/>
    <w:rsid w:val="005D1377"/>
    <w:rsid w:val="005D2A03"/>
    <w:rsid w:val="005D34AC"/>
    <w:rsid w:val="005D40E3"/>
    <w:rsid w:val="005D4A4A"/>
    <w:rsid w:val="005D531C"/>
    <w:rsid w:val="005D54BB"/>
    <w:rsid w:val="005D70EF"/>
    <w:rsid w:val="005D7EC3"/>
    <w:rsid w:val="005E1CBF"/>
    <w:rsid w:val="005E28D1"/>
    <w:rsid w:val="005E3AE5"/>
    <w:rsid w:val="005E42F6"/>
    <w:rsid w:val="005E5452"/>
    <w:rsid w:val="005E5A98"/>
    <w:rsid w:val="005E5EDC"/>
    <w:rsid w:val="005E64DD"/>
    <w:rsid w:val="005F027C"/>
    <w:rsid w:val="005F126B"/>
    <w:rsid w:val="005F1ED6"/>
    <w:rsid w:val="005F27D2"/>
    <w:rsid w:val="005F4CF7"/>
    <w:rsid w:val="005F515B"/>
    <w:rsid w:val="005F523E"/>
    <w:rsid w:val="005F52D2"/>
    <w:rsid w:val="005F5D04"/>
    <w:rsid w:val="00600C3B"/>
    <w:rsid w:val="00601A8E"/>
    <w:rsid w:val="00601FEE"/>
    <w:rsid w:val="00602516"/>
    <w:rsid w:val="00602A9E"/>
    <w:rsid w:val="00602B3D"/>
    <w:rsid w:val="00603150"/>
    <w:rsid w:val="00604430"/>
    <w:rsid w:val="006048AD"/>
    <w:rsid w:val="00605F25"/>
    <w:rsid w:val="006066F8"/>
    <w:rsid w:val="0061081A"/>
    <w:rsid w:val="00610A12"/>
    <w:rsid w:val="00610CC2"/>
    <w:rsid w:val="006124B6"/>
    <w:rsid w:val="0061288F"/>
    <w:rsid w:val="0061411A"/>
    <w:rsid w:val="00614247"/>
    <w:rsid w:val="006142D9"/>
    <w:rsid w:val="00614F5A"/>
    <w:rsid w:val="00615558"/>
    <w:rsid w:val="00615843"/>
    <w:rsid w:val="00617C96"/>
    <w:rsid w:val="00617F79"/>
    <w:rsid w:val="00620839"/>
    <w:rsid w:val="006213F4"/>
    <w:rsid w:val="006233AB"/>
    <w:rsid w:val="006233D5"/>
    <w:rsid w:val="00623DFA"/>
    <w:rsid w:val="00623FAF"/>
    <w:rsid w:val="006247D9"/>
    <w:rsid w:val="00624AF9"/>
    <w:rsid w:val="006252F4"/>
    <w:rsid w:val="00625511"/>
    <w:rsid w:val="0062583C"/>
    <w:rsid w:val="00626850"/>
    <w:rsid w:val="00626FA9"/>
    <w:rsid w:val="00627314"/>
    <w:rsid w:val="00627C39"/>
    <w:rsid w:val="00627E3E"/>
    <w:rsid w:val="00630E67"/>
    <w:rsid w:val="0063100A"/>
    <w:rsid w:val="00631C2A"/>
    <w:rsid w:val="0063308D"/>
    <w:rsid w:val="00633428"/>
    <w:rsid w:val="00633CD8"/>
    <w:rsid w:val="00633F06"/>
    <w:rsid w:val="0063485B"/>
    <w:rsid w:val="00634B74"/>
    <w:rsid w:val="00635413"/>
    <w:rsid w:val="00635903"/>
    <w:rsid w:val="00635BFF"/>
    <w:rsid w:val="00636193"/>
    <w:rsid w:val="00636FC2"/>
    <w:rsid w:val="006370AD"/>
    <w:rsid w:val="006372CA"/>
    <w:rsid w:val="00637719"/>
    <w:rsid w:val="00640107"/>
    <w:rsid w:val="00640689"/>
    <w:rsid w:val="006410D6"/>
    <w:rsid w:val="006415E4"/>
    <w:rsid w:val="0064254F"/>
    <w:rsid w:val="00642730"/>
    <w:rsid w:val="006431F8"/>
    <w:rsid w:val="00643C50"/>
    <w:rsid w:val="006447C9"/>
    <w:rsid w:val="006453D0"/>
    <w:rsid w:val="00645B54"/>
    <w:rsid w:val="00646399"/>
    <w:rsid w:val="00646BE4"/>
    <w:rsid w:val="00647967"/>
    <w:rsid w:val="00647E10"/>
    <w:rsid w:val="00650E43"/>
    <w:rsid w:val="00650F59"/>
    <w:rsid w:val="00650FBC"/>
    <w:rsid w:val="00651567"/>
    <w:rsid w:val="006516FA"/>
    <w:rsid w:val="006523FA"/>
    <w:rsid w:val="0065628E"/>
    <w:rsid w:val="006567F9"/>
    <w:rsid w:val="006570E4"/>
    <w:rsid w:val="006575B0"/>
    <w:rsid w:val="0065792E"/>
    <w:rsid w:val="00657AE1"/>
    <w:rsid w:val="0066041C"/>
    <w:rsid w:val="00660AB8"/>
    <w:rsid w:val="00660E23"/>
    <w:rsid w:val="006611DA"/>
    <w:rsid w:val="00661619"/>
    <w:rsid w:val="00661782"/>
    <w:rsid w:val="00661CD8"/>
    <w:rsid w:val="0066442F"/>
    <w:rsid w:val="0066451F"/>
    <w:rsid w:val="00664DB5"/>
    <w:rsid w:val="00667080"/>
    <w:rsid w:val="00667663"/>
    <w:rsid w:val="00671C14"/>
    <w:rsid w:val="00672061"/>
    <w:rsid w:val="00673562"/>
    <w:rsid w:val="00676CA7"/>
    <w:rsid w:val="00676FFA"/>
    <w:rsid w:val="00677338"/>
    <w:rsid w:val="00677950"/>
    <w:rsid w:val="00677959"/>
    <w:rsid w:val="00680254"/>
    <w:rsid w:val="00682E76"/>
    <w:rsid w:val="00683731"/>
    <w:rsid w:val="006843A4"/>
    <w:rsid w:val="006847C7"/>
    <w:rsid w:val="00684B36"/>
    <w:rsid w:val="00684C01"/>
    <w:rsid w:val="00684E54"/>
    <w:rsid w:val="0068530C"/>
    <w:rsid w:val="00685312"/>
    <w:rsid w:val="00685FB2"/>
    <w:rsid w:val="0069005E"/>
    <w:rsid w:val="00691E11"/>
    <w:rsid w:val="00692727"/>
    <w:rsid w:val="00694675"/>
    <w:rsid w:val="0069538D"/>
    <w:rsid w:val="006956B4"/>
    <w:rsid w:val="006970F0"/>
    <w:rsid w:val="006975CD"/>
    <w:rsid w:val="006A0CD2"/>
    <w:rsid w:val="006A15C2"/>
    <w:rsid w:val="006A1948"/>
    <w:rsid w:val="006A3C8C"/>
    <w:rsid w:val="006A520D"/>
    <w:rsid w:val="006A57B8"/>
    <w:rsid w:val="006A5B41"/>
    <w:rsid w:val="006A6054"/>
    <w:rsid w:val="006A61F2"/>
    <w:rsid w:val="006A63BE"/>
    <w:rsid w:val="006A7037"/>
    <w:rsid w:val="006A756F"/>
    <w:rsid w:val="006A7E23"/>
    <w:rsid w:val="006B0070"/>
    <w:rsid w:val="006B00FF"/>
    <w:rsid w:val="006B0184"/>
    <w:rsid w:val="006B0718"/>
    <w:rsid w:val="006B085A"/>
    <w:rsid w:val="006B0C3B"/>
    <w:rsid w:val="006B1633"/>
    <w:rsid w:val="006B2011"/>
    <w:rsid w:val="006B2782"/>
    <w:rsid w:val="006B2941"/>
    <w:rsid w:val="006B2A09"/>
    <w:rsid w:val="006B3B0B"/>
    <w:rsid w:val="006B3EAB"/>
    <w:rsid w:val="006B43B3"/>
    <w:rsid w:val="006B462B"/>
    <w:rsid w:val="006B4850"/>
    <w:rsid w:val="006B4B94"/>
    <w:rsid w:val="006B4D8C"/>
    <w:rsid w:val="006B4FEE"/>
    <w:rsid w:val="006B53BD"/>
    <w:rsid w:val="006B540C"/>
    <w:rsid w:val="006B5426"/>
    <w:rsid w:val="006B6284"/>
    <w:rsid w:val="006C0C86"/>
    <w:rsid w:val="006C11A0"/>
    <w:rsid w:val="006C1C8E"/>
    <w:rsid w:val="006C21EB"/>
    <w:rsid w:val="006C23A7"/>
    <w:rsid w:val="006C3991"/>
    <w:rsid w:val="006C3F5F"/>
    <w:rsid w:val="006C4034"/>
    <w:rsid w:val="006C40FE"/>
    <w:rsid w:val="006C48B2"/>
    <w:rsid w:val="006C4E07"/>
    <w:rsid w:val="006C5304"/>
    <w:rsid w:val="006C5A4E"/>
    <w:rsid w:val="006C5B7C"/>
    <w:rsid w:val="006C6876"/>
    <w:rsid w:val="006C6E30"/>
    <w:rsid w:val="006C75E2"/>
    <w:rsid w:val="006C7F70"/>
    <w:rsid w:val="006D0796"/>
    <w:rsid w:val="006D0A31"/>
    <w:rsid w:val="006D115A"/>
    <w:rsid w:val="006D235E"/>
    <w:rsid w:val="006D3C2E"/>
    <w:rsid w:val="006D3E86"/>
    <w:rsid w:val="006D43E7"/>
    <w:rsid w:val="006D4B33"/>
    <w:rsid w:val="006D5623"/>
    <w:rsid w:val="006D5B41"/>
    <w:rsid w:val="006D6A15"/>
    <w:rsid w:val="006D6E6C"/>
    <w:rsid w:val="006D6FB6"/>
    <w:rsid w:val="006D7589"/>
    <w:rsid w:val="006E0AAC"/>
    <w:rsid w:val="006E0D80"/>
    <w:rsid w:val="006E2F4A"/>
    <w:rsid w:val="006E3264"/>
    <w:rsid w:val="006E450E"/>
    <w:rsid w:val="006E4C96"/>
    <w:rsid w:val="006E539B"/>
    <w:rsid w:val="006E5D05"/>
    <w:rsid w:val="006E64A6"/>
    <w:rsid w:val="006E6740"/>
    <w:rsid w:val="006E68F0"/>
    <w:rsid w:val="006E6A5E"/>
    <w:rsid w:val="006E6FF9"/>
    <w:rsid w:val="006F1C9C"/>
    <w:rsid w:val="006F31CE"/>
    <w:rsid w:val="006F3939"/>
    <w:rsid w:val="006F3B12"/>
    <w:rsid w:val="006F3DE3"/>
    <w:rsid w:val="006F4EBA"/>
    <w:rsid w:val="006F4F13"/>
    <w:rsid w:val="006F7366"/>
    <w:rsid w:val="00700772"/>
    <w:rsid w:val="0070086C"/>
    <w:rsid w:val="00701F74"/>
    <w:rsid w:val="00702E0A"/>
    <w:rsid w:val="00703032"/>
    <w:rsid w:val="00703991"/>
    <w:rsid w:val="00703E84"/>
    <w:rsid w:val="007041F2"/>
    <w:rsid w:val="0070600F"/>
    <w:rsid w:val="0070611F"/>
    <w:rsid w:val="0070625A"/>
    <w:rsid w:val="00706DBF"/>
    <w:rsid w:val="00710988"/>
    <w:rsid w:val="0071157F"/>
    <w:rsid w:val="00712FD0"/>
    <w:rsid w:val="00713805"/>
    <w:rsid w:val="007141F2"/>
    <w:rsid w:val="0071427F"/>
    <w:rsid w:val="00714B95"/>
    <w:rsid w:val="00714E0C"/>
    <w:rsid w:val="00717532"/>
    <w:rsid w:val="00717851"/>
    <w:rsid w:val="00720561"/>
    <w:rsid w:val="007206A1"/>
    <w:rsid w:val="00720ABA"/>
    <w:rsid w:val="0072142F"/>
    <w:rsid w:val="00721C68"/>
    <w:rsid w:val="00722BC1"/>
    <w:rsid w:val="007231F2"/>
    <w:rsid w:val="007239C7"/>
    <w:rsid w:val="00723DEC"/>
    <w:rsid w:val="00724D3D"/>
    <w:rsid w:val="007258D8"/>
    <w:rsid w:val="00725CBE"/>
    <w:rsid w:val="0072661B"/>
    <w:rsid w:val="00726650"/>
    <w:rsid w:val="00726663"/>
    <w:rsid w:val="007267E0"/>
    <w:rsid w:val="007268E7"/>
    <w:rsid w:val="007272E5"/>
    <w:rsid w:val="007306DE"/>
    <w:rsid w:val="00730A8B"/>
    <w:rsid w:val="00730E6A"/>
    <w:rsid w:val="00731E4A"/>
    <w:rsid w:val="007327BC"/>
    <w:rsid w:val="00732B39"/>
    <w:rsid w:val="00733483"/>
    <w:rsid w:val="00733C7E"/>
    <w:rsid w:val="00734D3C"/>
    <w:rsid w:val="007356ED"/>
    <w:rsid w:val="00735BF1"/>
    <w:rsid w:val="00735F10"/>
    <w:rsid w:val="00737EBE"/>
    <w:rsid w:val="007412EF"/>
    <w:rsid w:val="00741726"/>
    <w:rsid w:val="00741AF0"/>
    <w:rsid w:val="00742B98"/>
    <w:rsid w:val="007437FB"/>
    <w:rsid w:val="007445A3"/>
    <w:rsid w:val="00744E67"/>
    <w:rsid w:val="0074691C"/>
    <w:rsid w:val="00746B4F"/>
    <w:rsid w:val="007504B7"/>
    <w:rsid w:val="0075197A"/>
    <w:rsid w:val="00753DB2"/>
    <w:rsid w:val="0075523E"/>
    <w:rsid w:val="00755697"/>
    <w:rsid w:val="00755D35"/>
    <w:rsid w:val="007560C8"/>
    <w:rsid w:val="00756BC6"/>
    <w:rsid w:val="007571C8"/>
    <w:rsid w:val="007573F8"/>
    <w:rsid w:val="00757773"/>
    <w:rsid w:val="00757ABC"/>
    <w:rsid w:val="007606AD"/>
    <w:rsid w:val="00760D3C"/>
    <w:rsid w:val="007614A5"/>
    <w:rsid w:val="0076199C"/>
    <w:rsid w:val="00762B04"/>
    <w:rsid w:val="00762DB3"/>
    <w:rsid w:val="00763932"/>
    <w:rsid w:val="007647D0"/>
    <w:rsid w:val="00765D70"/>
    <w:rsid w:val="0076618C"/>
    <w:rsid w:val="00767307"/>
    <w:rsid w:val="0077009E"/>
    <w:rsid w:val="007708F4"/>
    <w:rsid w:val="00770A19"/>
    <w:rsid w:val="00770C84"/>
    <w:rsid w:val="00770E72"/>
    <w:rsid w:val="00770F53"/>
    <w:rsid w:val="00771A01"/>
    <w:rsid w:val="00771F08"/>
    <w:rsid w:val="00772037"/>
    <w:rsid w:val="00772911"/>
    <w:rsid w:val="00772D2C"/>
    <w:rsid w:val="0077346D"/>
    <w:rsid w:val="00773658"/>
    <w:rsid w:val="00773D89"/>
    <w:rsid w:val="00774A37"/>
    <w:rsid w:val="00774A61"/>
    <w:rsid w:val="00777045"/>
    <w:rsid w:val="0077738A"/>
    <w:rsid w:val="007773EC"/>
    <w:rsid w:val="007805C8"/>
    <w:rsid w:val="00780EC3"/>
    <w:rsid w:val="0078186F"/>
    <w:rsid w:val="0078206E"/>
    <w:rsid w:val="007824D3"/>
    <w:rsid w:val="00782C70"/>
    <w:rsid w:val="00783289"/>
    <w:rsid w:val="00783916"/>
    <w:rsid w:val="00784E9C"/>
    <w:rsid w:val="007851F5"/>
    <w:rsid w:val="00785361"/>
    <w:rsid w:val="00785F3E"/>
    <w:rsid w:val="0079053A"/>
    <w:rsid w:val="007921B2"/>
    <w:rsid w:val="00792248"/>
    <w:rsid w:val="007926B1"/>
    <w:rsid w:val="00793223"/>
    <w:rsid w:val="00794360"/>
    <w:rsid w:val="007958D1"/>
    <w:rsid w:val="00795C50"/>
    <w:rsid w:val="00796A2D"/>
    <w:rsid w:val="00797D6B"/>
    <w:rsid w:val="007A0EC9"/>
    <w:rsid w:val="007A2C01"/>
    <w:rsid w:val="007A2D78"/>
    <w:rsid w:val="007A35E9"/>
    <w:rsid w:val="007A391C"/>
    <w:rsid w:val="007A43F8"/>
    <w:rsid w:val="007A4D04"/>
    <w:rsid w:val="007A4F34"/>
    <w:rsid w:val="007A4F97"/>
    <w:rsid w:val="007A656E"/>
    <w:rsid w:val="007B02E1"/>
    <w:rsid w:val="007B0311"/>
    <w:rsid w:val="007B0EBD"/>
    <w:rsid w:val="007B1A89"/>
    <w:rsid w:val="007B1B4D"/>
    <w:rsid w:val="007B1DB3"/>
    <w:rsid w:val="007B1FD0"/>
    <w:rsid w:val="007B3276"/>
    <w:rsid w:val="007B3FDA"/>
    <w:rsid w:val="007B4902"/>
    <w:rsid w:val="007B5551"/>
    <w:rsid w:val="007B6035"/>
    <w:rsid w:val="007B6861"/>
    <w:rsid w:val="007B6A68"/>
    <w:rsid w:val="007B6D02"/>
    <w:rsid w:val="007B7D74"/>
    <w:rsid w:val="007B7E6C"/>
    <w:rsid w:val="007C01CD"/>
    <w:rsid w:val="007C0434"/>
    <w:rsid w:val="007C08CB"/>
    <w:rsid w:val="007C098A"/>
    <w:rsid w:val="007C265C"/>
    <w:rsid w:val="007C3185"/>
    <w:rsid w:val="007C3DF5"/>
    <w:rsid w:val="007C406F"/>
    <w:rsid w:val="007C4A08"/>
    <w:rsid w:val="007C4B42"/>
    <w:rsid w:val="007C6DB9"/>
    <w:rsid w:val="007C6ED9"/>
    <w:rsid w:val="007C78DB"/>
    <w:rsid w:val="007C79D5"/>
    <w:rsid w:val="007C7DF9"/>
    <w:rsid w:val="007D1530"/>
    <w:rsid w:val="007D1862"/>
    <w:rsid w:val="007D2657"/>
    <w:rsid w:val="007D27F9"/>
    <w:rsid w:val="007D283D"/>
    <w:rsid w:val="007D2A2D"/>
    <w:rsid w:val="007D3866"/>
    <w:rsid w:val="007D43E7"/>
    <w:rsid w:val="007D4545"/>
    <w:rsid w:val="007D5821"/>
    <w:rsid w:val="007D5F18"/>
    <w:rsid w:val="007D6060"/>
    <w:rsid w:val="007D6A03"/>
    <w:rsid w:val="007E050E"/>
    <w:rsid w:val="007E0DA5"/>
    <w:rsid w:val="007E13DA"/>
    <w:rsid w:val="007E18BC"/>
    <w:rsid w:val="007E2D04"/>
    <w:rsid w:val="007E35F9"/>
    <w:rsid w:val="007E3E7A"/>
    <w:rsid w:val="007E464F"/>
    <w:rsid w:val="007E4A33"/>
    <w:rsid w:val="007E4B28"/>
    <w:rsid w:val="007E5911"/>
    <w:rsid w:val="007E5FE1"/>
    <w:rsid w:val="007E688C"/>
    <w:rsid w:val="007E77B7"/>
    <w:rsid w:val="007F13D2"/>
    <w:rsid w:val="007F1B9A"/>
    <w:rsid w:val="007F1FF8"/>
    <w:rsid w:val="007F239B"/>
    <w:rsid w:val="007F26F3"/>
    <w:rsid w:val="007F2CCD"/>
    <w:rsid w:val="007F3715"/>
    <w:rsid w:val="007F397C"/>
    <w:rsid w:val="007F4092"/>
    <w:rsid w:val="007F5B89"/>
    <w:rsid w:val="007F5C8E"/>
    <w:rsid w:val="007F689E"/>
    <w:rsid w:val="007F6DBA"/>
    <w:rsid w:val="008017F1"/>
    <w:rsid w:val="00802F21"/>
    <w:rsid w:val="00803AB0"/>
    <w:rsid w:val="00803AEC"/>
    <w:rsid w:val="00803B3C"/>
    <w:rsid w:val="00805825"/>
    <w:rsid w:val="008058DE"/>
    <w:rsid w:val="00806000"/>
    <w:rsid w:val="00806906"/>
    <w:rsid w:val="0081090E"/>
    <w:rsid w:val="00811ACD"/>
    <w:rsid w:val="0081329F"/>
    <w:rsid w:val="00814E49"/>
    <w:rsid w:val="00815134"/>
    <w:rsid w:val="008156E2"/>
    <w:rsid w:val="00815756"/>
    <w:rsid w:val="00815D12"/>
    <w:rsid w:val="00815E0B"/>
    <w:rsid w:val="0081617D"/>
    <w:rsid w:val="00816446"/>
    <w:rsid w:val="008170D5"/>
    <w:rsid w:val="00817AB9"/>
    <w:rsid w:val="00817CBA"/>
    <w:rsid w:val="008201A8"/>
    <w:rsid w:val="00821DAA"/>
    <w:rsid w:val="0082242C"/>
    <w:rsid w:val="00823256"/>
    <w:rsid w:val="008239DE"/>
    <w:rsid w:val="00823C09"/>
    <w:rsid w:val="00823E43"/>
    <w:rsid w:val="00824326"/>
    <w:rsid w:val="0082466A"/>
    <w:rsid w:val="00824AE6"/>
    <w:rsid w:val="00826191"/>
    <w:rsid w:val="0082748F"/>
    <w:rsid w:val="0082767C"/>
    <w:rsid w:val="00827763"/>
    <w:rsid w:val="0082798F"/>
    <w:rsid w:val="008302BB"/>
    <w:rsid w:val="008309C5"/>
    <w:rsid w:val="0083163A"/>
    <w:rsid w:val="0083215A"/>
    <w:rsid w:val="00832D85"/>
    <w:rsid w:val="00832FFB"/>
    <w:rsid w:val="0083343E"/>
    <w:rsid w:val="008339F6"/>
    <w:rsid w:val="00833ACF"/>
    <w:rsid w:val="00835A29"/>
    <w:rsid w:val="0083625E"/>
    <w:rsid w:val="00836A1C"/>
    <w:rsid w:val="00836B15"/>
    <w:rsid w:val="0083703E"/>
    <w:rsid w:val="008371E5"/>
    <w:rsid w:val="00840FBA"/>
    <w:rsid w:val="008413E9"/>
    <w:rsid w:val="0084191C"/>
    <w:rsid w:val="00841D5D"/>
    <w:rsid w:val="00842A1C"/>
    <w:rsid w:val="00843BBB"/>
    <w:rsid w:val="00845052"/>
    <w:rsid w:val="00845912"/>
    <w:rsid w:val="00845933"/>
    <w:rsid w:val="008460C9"/>
    <w:rsid w:val="00846280"/>
    <w:rsid w:val="00846A5A"/>
    <w:rsid w:val="00846BE5"/>
    <w:rsid w:val="008475F8"/>
    <w:rsid w:val="0084769B"/>
    <w:rsid w:val="00847939"/>
    <w:rsid w:val="0085055B"/>
    <w:rsid w:val="008518C6"/>
    <w:rsid w:val="008519E8"/>
    <w:rsid w:val="00852470"/>
    <w:rsid w:val="0085396D"/>
    <w:rsid w:val="00854031"/>
    <w:rsid w:val="00854DC2"/>
    <w:rsid w:val="00854DD7"/>
    <w:rsid w:val="008556CA"/>
    <w:rsid w:val="008557EA"/>
    <w:rsid w:val="008562A2"/>
    <w:rsid w:val="00856509"/>
    <w:rsid w:val="00860389"/>
    <w:rsid w:val="00861A75"/>
    <w:rsid w:val="00862E62"/>
    <w:rsid w:val="0086358B"/>
    <w:rsid w:val="008638F7"/>
    <w:rsid w:val="00865AE5"/>
    <w:rsid w:val="00865C58"/>
    <w:rsid w:val="008662D1"/>
    <w:rsid w:val="008664FE"/>
    <w:rsid w:val="00867CCD"/>
    <w:rsid w:val="00870348"/>
    <w:rsid w:val="008720D7"/>
    <w:rsid w:val="00872B70"/>
    <w:rsid w:val="00872C69"/>
    <w:rsid w:val="0087357B"/>
    <w:rsid w:val="008738FB"/>
    <w:rsid w:val="00873FF2"/>
    <w:rsid w:val="0087402E"/>
    <w:rsid w:val="00875154"/>
    <w:rsid w:val="008753AF"/>
    <w:rsid w:val="00875F77"/>
    <w:rsid w:val="0087663E"/>
    <w:rsid w:val="00877596"/>
    <w:rsid w:val="00877CCE"/>
    <w:rsid w:val="00880152"/>
    <w:rsid w:val="0088017C"/>
    <w:rsid w:val="008802CB"/>
    <w:rsid w:val="0088136E"/>
    <w:rsid w:val="00882325"/>
    <w:rsid w:val="00882ABD"/>
    <w:rsid w:val="008830F5"/>
    <w:rsid w:val="00883594"/>
    <w:rsid w:val="008839D0"/>
    <w:rsid w:val="0088459C"/>
    <w:rsid w:val="00884AFD"/>
    <w:rsid w:val="00884FF9"/>
    <w:rsid w:val="00885014"/>
    <w:rsid w:val="008855AA"/>
    <w:rsid w:val="008864CD"/>
    <w:rsid w:val="008872A9"/>
    <w:rsid w:val="00887997"/>
    <w:rsid w:val="008879AF"/>
    <w:rsid w:val="0089039B"/>
    <w:rsid w:val="00890753"/>
    <w:rsid w:val="00891733"/>
    <w:rsid w:val="0089215A"/>
    <w:rsid w:val="00892825"/>
    <w:rsid w:val="00892B6B"/>
    <w:rsid w:val="00892C9E"/>
    <w:rsid w:val="0089333A"/>
    <w:rsid w:val="0089392F"/>
    <w:rsid w:val="008948A9"/>
    <w:rsid w:val="00894B27"/>
    <w:rsid w:val="008955AB"/>
    <w:rsid w:val="00895D1E"/>
    <w:rsid w:val="00896CD2"/>
    <w:rsid w:val="00896E3F"/>
    <w:rsid w:val="008971CC"/>
    <w:rsid w:val="008A0E85"/>
    <w:rsid w:val="008A1F58"/>
    <w:rsid w:val="008A262F"/>
    <w:rsid w:val="008A27DD"/>
    <w:rsid w:val="008A2BFA"/>
    <w:rsid w:val="008A2E8D"/>
    <w:rsid w:val="008A2F14"/>
    <w:rsid w:val="008A33C4"/>
    <w:rsid w:val="008A3ADD"/>
    <w:rsid w:val="008A3D1B"/>
    <w:rsid w:val="008A3D6E"/>
    <w:rsid w:val="008A3F84"/>
    <w:rsid w:val="008A44FF"/>
    <w:rsid w:val="008A4633"/>
    <w:rsid w:val="008A48E7"/>
    <w:rsid w:val="008A4932"/>
    <w:rsid w:val="008A4AC3"/>
    <w:rsid w:val="008A4FD2"/>
    <w:rsid w:val="008A57A7"/>
    <w:rsid w:val="008B04D1"/>
    <w:rsid w:val="008B14D5"/>
    <w:rsid w:val="008B1720"/>
    <w:rsid w:val="008B17BC"/>
    <w:rsid w:val="008B2F16"/>
    <w:rsid w:val="008B3239"/>
    <w:rsid w:val="008B3992"/>
    <w:rsid w:val="008B3A7B"/>
    <w:rsid w:val="008B3B7B"/>
    <w:rsid w:val="008B568D"/>
    <w:rsid w:val="008B58D8"/>
    <w:rsid w:val="008B60F2"/>
    <w:rsid w:val="008B6303"/>
    <w:rsid w:val="008B6859"/>
    <w:rsid w:val="008B7397"/>
    <w:rsid w:val="008B75F8"/>
    <w:rsid w:val="008B7868"/>
    <w:rsid w:val="008B7F15"/>
    <w:rsid w:val="008C0455"/>
    <w:rsid w:val="008C0491"/>
    <w:rsid w:val="008C15A2"/>
    <w:rsid w:val="008C1737"/>
    <w:rsid w:val="008C1C66"/>
    <w:rsid w:val="008C22B0"/>
    <w:rsid w:val="008C26A2"/>
    <w:rsid w:val="008C26CD"/>
    <w:rsid w:val="008C2C80"/>
    <w:rsid w:val="008C4D64"/>
    <w:rsid w:val="008C56C8"/>
    <w:rsid w:val="008C57F2"/>
    <w:rsid w:val="008C6312"/>
    <w:rsid w:val="008C67D6"/>
    <w:rsid w:val="008C724D"/>
    <w:rsid w:val="008C72C3"/>
    <w:rsid w:val="008C7573"/>
    <w:rsid w:val="008D1752"/>
    <w:rsid w:val="008D2169"/>
    <w:rsid w:val="008D3C7A"/>
    <w:rsid w:val="008D4701"/>
    <w:rsid w:val="008D4F07"/>
    <w:rsid w:val="008D5216"/>
    <w:rsid w:val="008D5A72"/>
    <w:rsid w:val="008D6924"/>
    <w:rsid w:val="008D7400"/>
    <w:rsid w:val="008D7E72"/>
    <w:rsid w:val="008E02EC"/>
    <w:rsid w:val="008E05AD"/>
    <w:rsid w:val="008E07D6"/>
    <w:rsid w:val="008E0988"/>
    <w:rsid w:val="008E2F44"/>
    <w:rsid w:val="008E37AF"/>
    <w:rsid w:val="008E3F78"/>
    <w:rsid w:val="008E485A"/>
    <w:rsid w:val="008E4EC1"/>
    <w:rsid w:val="008E58C3"/>
    <w:rsid w:val="008E6973"/>
    <w:rsid w:val="008E69D6"/>
    <w:rsid w:val="008F12AB"/>
    <w:rsid w:val="008F204B"/>
    <w:rsid w:val="008F2176"/>
    <w:rsid w:val="008F2456"/>
    <w:rsid w:val="008F2B70"/>
    <w:rsid w:val="008F4DEA"/>
    <w:rsid w:val="008F55DC"/>
    <w:rsid w:val="008F5628"/>
    <w:rsid w:val="0090165F"/>
    <w:rsid w:val="00901D8E"/>
    <w:rsid w:val="00902551"/>
    <w:rsid w:val="00902F85"/>
    <w:rsid w:val="009043B4"/>
    <w:rsid w:val="00904C61"/>
    <w:rsid w:val="009060D4"/>
    <w:rsid w:val="0090619E"/>
    <w:rsid w:val="00907521"/>
    <w:rsid w:val="009113C8"/>
    <w:rsid w:val="00911A3C"/>
    <w:rsid w:val="00911D9F"/>
    <w:rsid w:val="009125D2"/>
    <w:rsid w:val="00912EA9"/>
    <w:rsid w:val="00912FE5"/>
    <w:rsid w:val="00913935"/>
    <w:rsid w:val="00913C01"/>
    <w:rsid w:val="00913D84"/>
    <w:rsid w:val="009163AD"/>
    <w:rsid w:val="009164B0"/>
    <w:rsid w:val="00917366"/>
    <w:rsid w:val="00920270"/>
    <w:rsid w:val="0092078F"/>
    <w:rsid w:val="00920A2D"/>
    <w:rsid w:val="009212C4"/>
    <w:rsid w:val="0092134A"/>
    <w:rsid w:val="0092204C"/>
    <w:rsid w:val="009229CB"/>
    <w:rsid w:val="00922FE4"/>
    <w:rsid w:val="009232DC"/>
    <w:rsid w:val="00923448"/>
    <w:rsid w:val="0092370B"/>
    <w:rsid w:val="0092483F"/>
    <w:rsid w:val="0092515E"/>
    <w:rsid w:val="00925338"/>
    <w:rsid w:val="0092542B"/>
    <w:rsid w:val="009258BB"/>
    <w:rsid w:val="009319B3"/>
    <w:rsid w:val="00931B2F"/>
    <w:rsid w:val="00931ECE"/>
    <w:rsid w:val="00932304"/>
    <w:rsid w:val="0093406F"/>
    <w:rsid w:val="009349E5"/>
    <w:rsid w:val="00934D83"/>
    <w:rsid w:val="00934F5D"/>
    <w:rsid w:val="00935AA2"/>
    <w:rsid w:val="00935BB8"/>
    <w:rsid w:val="00936044"/>
    <w:rsid w:val="009373DF"/>
    <w:rsid w:val="00937917"/>
    <w:rsid w:val="00940C97"/>
    <w:rsid w:val="00940C98"/>
    <w:rsid w:val="00941601"/>
    <w:rsid w:val="00941B24"/>
    <w:rsid w:val="0094229E"/>
    <w:rsid w:val="009425BF"/>
    <w:rsid w:val="00942F29"/>
    <w:rsid w:val="0094332B"/>
    <w:rsid w:val="009436AC"/>
    <w:rsid w:val="00943DAA"/>
    <w:rsid w:val="00944F8E"/>
    <w:rsid w:val="00945DFF"/>
    <w:rsid w:val="0094667E"/>
    <w:rsid w:val="00946903"/>
    <w:rsid w:val="00946D75"/>
    <w:rsid w:val="00947253"/>
    <w:rsid w:val="00947900"/>
    <w:rsid w:val="0094799D"/>
    <w:rsid w:val="00947B1C"/>
    <w:rsid w:val="0095050E"/>
    <w:rsid w:val="00950529"/>
    <w:rsid w:val="00950635"/>
    <w:rsid w:val="009518AF"/>
    <w:rsid w:val="00951E1A"/>
    <w:rsid w:val="0095358D"/>
    <w:rsid w:val="00953BE6"/>
    <w:rsid w:val="009553AF"/>
    <w:rsid w:val="00956A58"/>
    <w:rsid w:val="00956C2D"/>
    <w:rsid w:val="009573FB"/>
    <w:rsid w:val="00960785"/>
    <w:rsid w:val="00960B2D"/>
    <w:rsid w:val="00961AC5"/>
    <w:rsid w:val="009625E6"/>
    <w:rsid w:val="00962BD5"/>
    <w:rsid w:val="00962C5E"/>
    <w:rsid w:val="009639DB"/>
    <w:rsid w:val="009640F3"/>
    <w:rsid w:val="009641C0"/>
    <w:rsid w:val="00964865"/>
    <w:rsid w:val="00965D49"/>
    <w:rsid w:val="0096607D"/>
    <w:rsid w:val="00967539"/>
    <w:rsid w:val="0096774A"/>
    <w:rsid w:val="009715D2"/>
    <w:rsid w:val="00971EF0"/>
    <w:rsid w:val="00972138"/>
    <w:rsid w:val="00972B21"/>
    <w:rsid w:val="009736E5"/>
    <w:rsid w:val="009751B5"/>
    <w:rsid w:val="00975243"/>
    <w:rsid w:val="00975530"/>
    <w:rsid w:val="00976885"/>
    <w:rsid w:val="00980C31"/>
    <w:rsid w:val="00980D72"/>
    <w:rsid w:val="0098107A"/>
    <w:rsid w:val="009811A6"/>
    <w:rsid w:val="009811E8"/>
    <w:rsid w:val="009813E5"/>
    <w:rsid w:val="0098147B"/>
    <w:rsid w:val="0098207F"/>
    <w:rsid w:val="009822E1"/>
    <w:rsid w:val="00983931"/>
    <w:rsid w:val="00984B89"/>
    <w:rsid w:val="009858C9"/>
    <w:rsid w:val="009859E0"/>
    <w:rsid w:val="009869F1"/>
    <w:rsid w:val="00987229"/>
    <w:rsid w:val="00990AC9"/>
    <w:rsid w:val="00991B6D"/>
    <w:rsid w:val="00991D81"/>
    <w:rsid w:val="00992DFC"/>
    <w:rsid w:val="00993DB1"/>
    <w:rsid w:val="009940A3"/>
    <w:rsid w:val="009947DC"/>
    <w:rsid w:val="00994B4B"/>
    <w:rsid w:val="00994B8B"/>
    <w:rsid w:val="00994D86"/>
    <w:rsid w:val="0099515F"/>
    <w:rsid w:val="009971D1"/>
    <w:rsid w:val="0099766B"/>
    <w:rsid w:val="009A088E"/>
    <w:rsid w:val="009A0BB5"/>
    <w:rsid w:val="009A10F7"/>
    <w:rsid w:val="009A123D"/>
    <w:rsid w:val="009A2628"/>
    <w:rsid w:val="009A27A2"/>
    <w:rsid w:val="009A3071"/>
    <w:rsid w:val="009A3527"/>
    <w:rsid w:val="009A35D9"/>
    <w:rsid w:val="009A4952"/>
    <w:rsid w:val="009A5811"/>
    <w:rsid w:val="009A61BA"/>
    <w:rsid w:val="009A640D"/>
    <w:rsid w:val="009A6AD0"/>
    <w:rsid w:val="009A73CE"/>
    <w:rsid w:val="009B0404"/>
    <w:rsid w:val="009B071D"/>
    <w:rsid w:val="009B15F3"/>
    <w:rsid w:val="009B32B1"/>
    <w:rsid w:val="009B3FF2"/>
    <w:rsid w:val="009B5709"/>
    <w:rsid w:val="009B6563"/>
    <w:rsid w:val="009B682D"/>
    <w:rsid w:val="009B696E"/>
    <w:rsid w:val="009B7449"/>
    <w:rsid w:val="009C07BC"/>
    <w:rsid w:val="009C1058"/>
    <w:rsid w:val="009C19B9"/>
    <w:rsid w:val="009C1DBB"/>
    <w:rsid w:val="009C2EA8"/>
    <w:rsid w:val="009C3A5D"/>
    <w:rsid w:val="009C4FE1"/>
    <w:rsid w:val="009C5635"/>
    <w:rsid w:val="009C57FD"/>
    <w:rsid w:val="009C64B5"/>
    <w:rsid w:val="009C6BAC"/>
    <w:rsid w:val="009C6BF4"/>
    <w:rsid w:val="009D0E8C"/>
    <w:rsid w:val="009D1153"/>
    <w:rsid w:val="009D25FD"/>
    <w:rsid w:val="009D29FB"/>
    <w:rsid w:val="009D329B"/>
    <w:rsid w:val="009D3BED"/>
    <w:rsid w:val="009D4136"/>
    <w:rsid w:val="009D60D0"/>
    <w:rsid w:val="009D60E7"/>
    <w:rsid w:val="009D6173"/>
    <w:rsid w:val="009D657B"/>
    <w:rsid w:val="009D6725"/>
    <w:rsid w:val="009D6B0D"/>
    <w:rsid w:val="009D6B16"/>
    <w:rsid w:val="009D6F85"/>
    <w:rsid w:val="009D6FFA"/>
    <w:rsid w:val="009E0009"/>
    <w:rsid w:val="009E0AA2"/>
    <w:rsid w:val="009E0D76"/>
    <w:rsid w:val="009E1170"/>
    <w:rsid w:val="009E1CAF"/>
    <w:rsid w:val="009E1E32"/>
    <w:rsid w:val="009E3175"/>
    <w:rsid w:val="009E3922"/>
    <w:rsid w:val="009E3CFB"/>
    <w:rsid w:val="009E430F"/>
    <w:rsid w:val="009E6503"/>
    <w:rsid w:val="009E653F"/>
    <w:rsid w:val="009E6B57"/>
    <w:rsid w:val="009E71D5"/>
    <w:rsid w:val="009E792C"/>
    <w:rsid w:val="009F0A4A"/>
    <w:rsid w:val="009F1638"/>
    <w:rsid w:val="009F33C9"/>
    <w:rsid w:val="009F3992"/>
    <w:rsid w:val="009F42C5"/>
    <w:rsid w:val="009F47C8"/>
    <w:rsid w:val="009F4C9B"/>
    <w:rsid w:val="009F6B8B"/>
    <w:rsid w:val="009F6DAC"/>
    <w:rsid w:val="00A00779"/>
    <w:rsid w:val="00A00F65"/>
    <w:rsid w:val="00A02BD8"/>
    <w:rsid w:val="00A031D7"/>
    <w:rsid w:val="00A034F0"/>
    <w:rsid w:val="00A04380"/>
    <w:rsid w:val="00A04434"/>
    <w:rsid w:val="00A05378"/>
    <w:rsid w:val="00A05639"/>
    <w:rsid w:val="00A0564B"/>
    <w:rsid w:val="00A05DC7"/>
    <w:rsid w:val="00A06626"/>
    <w:rsid w:val="00A079E3"/>
    <w:rsid w:val="00A109C1"/>
    <w:rsid w:val="00A10B6E"/>
    <w:rsid w:val="00A10D37"/>
    <w:rsid w:val="00A10F7B"/>
    <w:rsid w:val="00A11BE9"/>
    <w:rsid w:val="00A1208D"/>
    <w:rsid w:val="00A13210"/>
    <w:rsid w:val="00A13655"/>
    <w:rsid w:val="00A14043"/>
    <w:rsid w:val="00A1428B"/>
    <w:rsid w:val="00A15E20"/>
    <w:rsid w:val="00A15EBF"/>
    <w:rsid w:val="00A16D53"/>
    <w:rsid w:val="00A17AEA"/>
    <w:rsid w:val="00A2099E"/>
    <w:rsid w:val="00A20A6A"/>
    <w:rsid w:val="00A22DF5"/>
    <w:rsid w:val="00A23892"/>
    <w:rsid w:val="00A23D9F"/>
    <w:rsid w:val="00A2448A"/>
    <w:rsid w:val="00A26748"/>
    <w:rsid w:val="00A272CE"/>
    <w:rsid w:val="00A27571"/>
    <w:rsid w:val="00A27903"/>
    <w:rsid w:val="00A32153"/>
    <w:rsid w:val="00A32910"/>
    <w:rsid w:val="00A3294E"/>
    <w:rsid w:val="00A332B2"/>
    <w:rsid w:val="00A337CD"/>
    <w:rsid w:val="00A34693"/>
    <w:rsid w:val="00A34729"/>
    <w:rsid w:val="00A347B1"/>
    <w:rsid w:val="00A353B9"/>
    <w:rsid w:val="00A36381"/>
    <w:rsid w:val="00A37948"/>
    <w:rsid w:val="00A4034C"/>
    <w:rsid w:val="00A409E7"/>
    <w:rsid w:val="00A410E4"/>
    <w:rsid w:val="00A41584"/>
    <w:rsid w:val="00A419BD"/>
    <w:rsid w:val="00A420B7"/>
    <w:rsid w:val="00A426CB"/>
    <w:rsid w:val="00A42C7F"/>
    <w:rsid w:val="00A42C82"/>
    <w:rsid w:val="00A436A1"/>
    <w:rsid w:val="00A43BB4"/>
    <w:rsid w:val="00A44229"/>
    <w:rsid w:val="00A44862"/>
    <w:rsid w:val="00A44F37"/>
    <w:rsid w:val="00A463F4"/>
    <w:rsid w:val="00A473C8"/>
    <w:rsid w:val="00A5082E"/>
    <w:rsid w:val="00A508FA"/>
    <w:rsid w:val="00A50E03"/>
    <w:rsid w:val="00A51190"/>
    <w:rsid w:val="00A5274A"/>
    <w:rsid w:val="00A52A96"/>
    <w:rsid w:val="00A53A42"/>
    <w:rsid w:val="00A554BE"/>
    <w:rsid w:val="00A55ACD"/>
    <w:rsid w:val="00A561FA"/>
    <w:rsid w:val="00A5677E"/>
    <w:rsid w:val="00A57720"/>
    <w:rsid w:val="00A60CA8"/>
    <w:rsid w:val="00A6120C"/>
    <w:rsid w:val="00A62486"/>
    <w:rsid w:val="00A637DD"/>
    <w:rsid w:val="00A63D08"/>
    <w:rsid w:val="00A646E0"/>
    <w:rsid w:val="00A653F6"/>
    <w:rsid w:val="00A70677"/>
    <w:rsid w:val="00A719FC"/>
    <w:rsid w:val="00A71D4E"/>
    <w:rsid w:val="00A72075"/>
    <w:rsid w:val="00A72856"/>
    <w:rsid w:val="00A72C2E"/>
    <w:rsid w:val="00A736B3"/>
    <w:rsid w:val="00A73990"/>
    <w:rsid w:val="00A73AB5"/>
    <w:rsid w:val="00A744E7"/>
    <w:rsid w:val="00A74A23"/>
    <w:rsid w:val="00A74F1F"/>
    <w:rsid w:val="00A7570C"/>
    <w:rsid w:val="00A759AC"/>
    <w:rsid w:val="00A761AB"/>
    <w:rsid w:val="00A76E3D"/>
    <w:rsid w:val="00A772E3"/>
    <w:rsid w:val="00A80692"/>
    <w:rsid w:val="00A80961"/>
    <w:rsid w:val="00A80B86"/>
    <w:rsid w:val="00A81D20"/>
    <w:rsid w:val="00A81ED5"/>
    <w:rsid w:val="00A825CB"/>
    <w:rsid w:val="00A82E07"/>
    <w:rsid w:val="00A843CD"/>
    <w:rsid w:val="00A845B9"/>
    <w:rsid w:val="00A85825"/>
    <w:rsid w:val="00A85F7A"/>
    <w:rsid w:val="00A860FA"/>
    <w:rsid w:val="00A863BF"/>
    <w:rsid w:val="00A869DF"/>
    <w:rsid w:val="00A86E96"/>
    <w:rsid w:val="00A878D1"/>
    <w:rsid w:val="00A903AD"/>
    <w:rsid w:val="00A916BD"/>
    <w:rsid w:val="00A919E1"/>
    <w:rsid w:val="00A91D7B"/>
    <w:rsid w:val="00A9282C"/>
    <w:rsid w:val="00A93A6A"/>
    <w:rsid w:val="00A93FB2"/>
    <w:rsid w:val="00A9405B"/>
    <w:rsid w:val="00A94D71"/>
    <w:rsid w:val="00A94EB1"/>
    <w:rsid w:val="00A94FA5"/>
    <w:rsid w:val="00A97299"/>
    <w:rsid w:val="00A97C61"/>
    <w:rsid w:val="00AA0A2D"/>
    <w:rsid w:val="00AA1A01"/>
    <w:rsid w:val="00AA27C3"/>
    <w:rsid w:val="00AA3C8F"/>
    <w:rsid w:val="00AA41AB"/>
    <w:rsid w:val="00AA4446"/>
    <w:rsid w:val="00AA4C1D"/>
    <w:rsid w:val="00AA4CB6"/>
    <w:rsid w:val="00AA4D8F"/>
    <w:rsid w:val="00AA4F9D"/>
    <w:rsid w:val="00AA5EAD"/>
    <w:rsid w:val="00AA5EBA"/>
    <w:rsid w:val="00AA66DD"/>
    <w:rsid w:val="00AA6945"/>
    <w:rsid w:val="00AA6ACB"/>
    <w:rsid w:val="00AA6D0D"/>
    <w:rsid w:val="00AA72FC"/>
    <w:rsid w:val="00AB3026"/>
    <w:rsid w:val="00AB4084"/>
    <w:rsid w:val="00AB4EF8"/>
    <w:rsid w:val="00AB52DA"/>
    <w:rsid w:val="00AB56BA"/>
    <w:rsid w:val="00AB5BB2"/>
    <w:rsid w:val="00AB62BD"/>
    <w:rsid w:val="00AB674A"/>
    <w:rsid w:val="00AB6B92"/>
    <w:rsid w:val="00AB71A2"/>
    <w:rsid w:val="00AC16BC"/>
    <w:rsid w:val="00AC171E"/>
    <w:rsid w:val="00AC254D"/>
    <w:rsid w:val="00AC2885"/>
    <w:rsid w:val="00AC54D1"/>
    <w:rsid w:val="00AC5C70"/>
    <w:rsid w:val="00AD044D"/>
    <w:rsid w:val="00AD047A"/>
    <w:rsid w:val="00AD0F7F"/>
    <w:rsid w:val="00AD135E"/>
    <w:rsid w:val="00AD1780"/>
    <w:rsid w:val="00AD185C"/>
    <w:rsid w:val="00AD1B2F"/>
    <w:rsid w:val="00AD22DB"/>
    <w:rsid w:val="00AD296E"/>
    <w:rsid w:val="00AD39EF"/>
    <w:rsid w:val="00AD48A4"/>
    <w:rsid w:val="00AD4D17"/>
    <w:rsid w:val="00AD4F4B"/>
    <w:rsid w:val="00AD5159"/>
    <w:rsid w:val="00AD56F0"/>
    <w:rsid w:val="00AD59AF"/>
    <w:rsid w:val="00AD70BF"/>
    <w:rsid w:val="00AD72FB"/>
    <w:rsid w:val="00AE089F"/>
    <w:rsid w:val="00AE0C12"/>
    <w:rsid w:val="00AE171B"/>
    <w:rsid w:val="00AE28DA"/>
    <w:rsid w:val="00AE2E19"/>
    <w:rsid w:val="00AE4E5F"/>
    <w:rsid w:val="00AE5213"/>
    <w:rsid w:val="00AE6389"/>
    <w:rsid w:val="00AE651E"/>
    <w:rsid w:val="00AE6645"/>
    <w:rsid w:val="00AE7772"/>
    <w:rsid w:val="00AF037B"/>
    <w:rsid w:val="00AF18D1"/>
    <w:rsid w:val="00AF206B"/>
    <w:rsid w:val="00AF29EF"/>
    <w:rsid w:val="00AF2E3E"/>
    <w:rsid w:val="00AF2F4C"/>
    <w:rsid w:val="00AF3932"/>
    <w:rsid w:val="00AF3D64"/>
    <w:rsid w:val="00AF4254"/>
    <w:rsid w:val="00AF4974"/>
    <w:rsid w:val="00AF4B4F"/>
    <w:rsid w:val="00AF4F4C"/>
    <w:rsid w:val="00AF5881"/>
    <w:rsid w:val="00AF6552"/>
    <w:rsid w:val="00AF7B8B"/>
    <w:rsid w:val="00B0009C"/>
    <w:rsid w:val="00B01324"/>
    <w:rsid w:val="00B0191D"/>
    <w:rsid w:val="00B02548"/>
    <w:rsid w:val="00B0309F"/>
    <w:rsid w:val="00B03295"/>
    <w:rsid w:val="00B03824"/>
    <w:rsid w:val="00B04317"/>
    <w:rsid w:val="00B04984"/>
    <w:rsid w:val="00B0607A"/>
    <w:rsid w:val="00B06BDB"/>
    <w:rsid w:val="00B07312"/>
    <w:rsid w:val="00B103D8"/>
    <w:rsid w:val="00B11019"/>
    <w:rsid w:val="00B1278A"/>
    <w:rsid w:val="00B129DE"/>
    <w:rsid w:val="00B13BC4"/>
    <w:rsid w:val="00B13BF4"/>
    <w:rsid w:val="00B13C4E"/>
    <w:rsid w:val="00B13F6F"/>
    <w:rsid w:val="00B148F1"/>
    <w:rsid w:val="00B14A90"/>
    <w:rsid w:val="00B15092"/>
    <w:rsid w:val="00B155A8"/>
    <w:rsid w:val="00B15F31"/>
    <w:rsid w:val="00B1658F"/>
    <w:rsid w:val="00B1729E"/>
    <w:rsid w:val="00B179BB"/>
    <w:rsid w:val="00B20573"/>
    <w:rsid w:val="00B2097B"/>
    <w:rsid w:val="00B20EEE"/>
    <w:rsid w:val="00B215E8"/>
    <w:rsid w:val="00B21DCB"/>
    <w:rsid w:val="00B22276"/>
    <w:rsid w:val="00B22D0C"/>
    <w:rsid w:val="00B22E36"/>
    <w:rsid w:val="00B23733"/>
    <w:rsid w:val="00B23F4B"/>
    <w:rsid w:val="00B247BC"/>
    <w:rsid w:val="00B24960"/>
    <w:rsid w:val="00B2532F"/>
    <w:rsid w:val="00B26581"/>
    <w:rsid w:val="00B27442"/>
    <w:rsid w:val="00B27E05"/>
    <w:rsid w:val="00B27F16"/>
    <w:rsid w:val="00B308EB"/>
    <w:rsid w:val="00B31D1B"/>
    <w:rsid w:val="00B32403"/>
    <w:rsid w:val="00B32C7F"/>
    <w:rsid w:val="00B3352E"/>
    <w:rsid w:val="00B33C59"/>
    <w:rsid w:val="00B3404A"/>
    <w:rsid w:val="00B346EC"/>
    <w:rsid w:val="00B347B4"/>
    <w:rsid w:val="00B35278"/>
    <w:rsid w:val="00B36453"/>
    <w:rsid w:val="00B37FD2"/>
    <w:rsid w:val="00B40867"/>
    <w:rsid w:val="00B40AD7"/>
    <w:rsid w:val="00B41909"/>
    <w:rsid w:val="00B41AA1"/>
    <w:rsid w:val="00B4219B"/>
    <w:rsid w:val="00B44115"/>
    <w:rsid w:val="00B445EC"/>
    <w:rsid w:val="00B467BC"/>
    <w:rsid w:val="00B47D4A"/>
    <w:rsid w:val="00B47E73"/>
    <w:rsid w:val="00B5183C"/>
    <w:rsid w:val="00B51E76"/>
    <w:rsid w:val="00B51ECF"/>
    <w:rsid w:val="00B5217C"/>
    <w:rsid w:val="00B52445"/>
    <w:rsid w:val="00B53931"/>
    <w:rsid w:val="00B53D36"/>
    <w:rsid w:val="00B54370"/>
    <w:rsid w:val="00B55350"/>
    <w:rsid w:val="00B55CBA"/>
    <w:rsid w:val="00B55D19"/>
    <w:rsid w:val="00B615F4"/>
    <w:rsid w:val="00B6163B"/>
    <w:rsid w:val="00B617E5"/>
    <w:rsid w:val="00B6182A"/>
    <w:rsid w:val="00B6301C"/>
    <w:rsid w:val="00B64104"/>
    <w:rsid w:val="00B6427A"/>
    <w:rsid w:val="00B65248"/>
    <w:rsid w:val="00B6540B"/>
    <w:rsid w:val="00B65955"/>
    <w:rsid w:val="00B6596B"/>
    <w:rsid w:val="00B66EE2"/>
    <w:rsid w:val="00B71F42"/>
    <w:rsid w:val="00B72251"/>
    <w:rsid w:val="00B7230E"/>
    <w:rsid w:val="00B72318"/>
    <w:rsid w:val="00B7234E"/>
    <w:rsid w:val="00B72721"/>
    <w:rsid w:val="00B74DFF"/>
    <w:rsid w:val="00B7586C"/>
    <w:rsid w:val="00B7600F"/>
    <w:rsid w:val="00B80022"/>
    <w:rsid w:val="00B805F5"/>
    <w:rsid w:val="00B806CC"/>
    <w:rsid w:val="00B809B7"/>
    <w:rsid w:val="00B80C7A"/>
    <w:rsid w:val="00B81201"/>
    <w:rsid w:val="00B8124A"/>
    <w:rsid w:val="00B8168E"/>
    <w:rsid w:val="00B81DE1"/>
    <w:rsid w:val="00B831C0"/>
    <w:rsid w:val="00B83647"/>
    <w:rsid w:val="00B83964"/>
    <w:rsid w:val="00B83C5A"/>
    <w:rsid w:val="00B83F4A"/>
    <w:rsid w:val="00B84EF0"/>
    <w:rsid w:val="00B85758"/>
    <w:rsid w:val="00B86089"/>
    <w:rsid w:val="00B87063"/>
    <w:rsid w:val="00B901CF"/>
    <w:rsid w:val="00B91713"/>
    <w:rsid w:val="00B9197E"/>
    <w:rsid w:val="00B91D07"/>
    <w:rsid w:val="00B92118"/>
    <w:rsid w:val="00B93B86"/>
    <w:rsid w:val="00B93D7E"/>
    <w:rsid w:val="00B94F8B"/>
    <w:rsid w:val="00B95242"/>
    <w:rsid w:val="00B9543B"/>
    <w:rsid w:val="00B95C8E"/>
    <w:rsid w:val="00B96232"/>
    <w:rsid w:val="00B963C5"/>
    <w:rsid w:val="00B96683"/>
    <w:rsid w:val="00BA058E"/>
    <w:rsid w:val="00BA083F"/>
    <w:rsid w:val="00BA0A3B"/>
    <w:rsid w:val="00BA1881"/>
    <w:rsid w:val="00BA199E"/>
    <w:rsid w:val="00BA208C"/>
    <w:rsid w:val="00BA3CDC"/>
    <w:rsid w:val="00BA417F"/>
    <w:rsid w:val="00BA4E56"/>
    <w:rsid w:val="00BA566B"/>
    <w:rsid w:val="00BA56A5"/>
    <w:rsid w:val="00BA5AFB"/>
    <w:rsid w:val="00BA5F4B"/>
    <w:rsid w:val="00BA608C"/>
    <w:rsid w:val="00BA6485"/>
    <w:rsid w:val="00BA6E62"/>
    <w:rsid w:val="00BA7738"/>
    <w:rsid w:val="00BB0859"/>
    <w:rsid w:val="00BB2ECE"/>
    <w:rsid w:val="00BB38C1"/>
    <w:rsid w:val="00BB3B24"/>
    <w:rsid w:val="00BB4A40"/>
    <w:rsid w:val="00BB667B"/>
    <w:rsid w:val="00BB66F7"/>
    <w:rsid w:val="00BB69B6"/>
    <w:rsid w:val="00BB7970"/>
    <w:rsid w:val="00BB7BB3"/>
    <w:rsid w:val="00BB7CC5"/>
    <w:rsid w:val="00BC01E5"/>
    <w:rsid w:val="00BC0A20"/>
    <w:rsid w:val="00BC2162"/>
    <w:rsid w:val="00BC3157"/>
    <w:rsid w:val="00BC3CA9"/>
    <w:rsid w:val="00BC4462"/>
    <w:rsid w:val="00BC62D4"/>
    <w:rsid w:val="00BC6B27"/>
    <w:rsid w:val="00BC74B7"/>
    <w:rsid w:val="00BC75D0"/>
    <w:rsid w:val="00BD02BF"/>
    <w:rsid w:val="00BD0B8B"/>
    <w:rsid w:val="00BD13ED"/>
    <w:rsid w:val="00BD239F"/>
    <w:rsid w:val="00BD2C0A"/>
    <w:rsid w:val="00BD400D"/>
    <w:rsid w:val="00BD42B7"/>
    <w:rsid w:val="00BD5758"/>
    <w:rsid w:val="00BD731D"/>
    <w:rsid w:val="00BE0CDC"/>
    <w:rsid w:val="00BE165A"/>
    <w:rsid w:val="00BE2D10"/>
    <w:rsid w:val="00BE39EC"/>
    <w:rsid w:val="00BE3B27"/>
    <w:rsid w:val="00BE4F2E"/>
    <w:rsid w:val="00BE55F0"/>
    <w:rsid w:val="00BE5D2C"/>
    <w:rsid w:val="00BE632E"/>
    <w:rsid w:val="00BE675A"/>
    <w:rsid w:val="00BE67E8"/>
    <w:rsid w:val="00BE69E8"/>
    <w:rsid w:val="00BE6D01"/>
    <w:rsid w:val="00BE74D5"/>
    <w:rsid w:val="00BF0077"/>
    <w:rsid w:val="00BF01D9"/>
    <w:rsid w:val="00BF111B"/>
    <w:rsid w:val="00BF11B3"/>
    <w:rsid w:val="00BF14FB"/>
    <w:rsid w:val="00BF1ABB"/>
    <w:rsid w:val="00BF206C"/>
    <w:rsid w:val="00BF2DBA"/>
    <w:rsid w:val="00BF3549"/>
    <w:rsid w:val="00BF41E7"/>
    <w:rsid w:val="00BF4C00"/>
    <w:rsid w:val="00BF4F0E"/>
    <w:rsid w:val="00BF5C79"/>
    <w:rsid w:val="00BF6A46"/>
    <w:rsid w:val="00BF6EFC"/>
    <w:rsid w:val="00BF79C6"/>
    <w:rsid w:val="00BF7FA5"/>
    <w:rsid w:val="00C00573"/>
    <w:rsid w:val="00C016FA"/>
    <w:rsid w:val="00C01766"/>
    <w:rsid w:val="00C0239F"/>
    <w:rsid w:val="00C0267A"/>
    <w:rsid w:val="00C03E9D"/>
    <w:rsid w:val="00C04955"/>
    <w:rsid w:val="00C04979"/>
    <w:rsid w:val="00C0506A"/>
    <w:rsid w:val="00C05CAD"/>
    <w:rsid w:val="00C06948"/>
    <w:rsid w:val="00C06B62"/>
    <w:rsid w:val="00C06B71"/>
    <w:rsid w:val="00C06DD4"/>
    <w:rsid w:val="00C1055F"/>
    <w:rsid w:val="00C11617"/>
    <w:rsid w:val="00C116E3"/>
    <w:rsid w:val="00C11967"/>
    <w:rsid w:val="00C11D72"/>
    <w:rsid w:val="00C1252E"/>
    <w:rsid w:val="00C12EC4"/>
    <w:rsid w:val="00C13CFB"/>
    <w:rsid w:val="00C13E84"/>
    <w:rsid w:val="00C145F5"/>
    <w:rsid w:val="00C14978"/>
    <w:rsid w:val="00C150F8"/>
    <w:rsid w:val="00C152E5"/>
    <w:rsid w:val="00C154FD"/>
    <w:rsid w:val="00C17272"/>
    <w:rsid w:val="00C17407"/>
    <w:rsid w:val="00C17905"/>
    <w:rsid w:val="00C20770"/>
    <w:rsid w:val="00C20A51"/>
    <w:rsid w:val="00C20D2B"/>
    <w:rsid w:val="00C231AD"/>
    <w:rsid w:val="00C235F9"/>
    <w:rsid w:val="00C2368F"/>
    <w:rsid w:val="00C236DA"/>
    <w:rsid w:val="00C23983"/>
    <w:rsid w:val="00C2438D"/>
    <w:rsid w:val="00C25E76"/>
    <w:rsid w:val="00C26467"/>
    <w:rsid w:val="00C26C10"/>
    <w:rsid w:val="00C26C11"/>
    <w:rsid w:val="00C302C8"/>
    <w:rsid w:val="00C30E1F"/>
    <w:rsid w:val="00C3103D"/>
    <w:rsid w:val="00C31BFF"/>
    <w:rsid w:val="00C32332"/>
    <w:rsid w:val="00C32728"/>
    <w:rsid w:val="00C32B2C"/>
    <w:rsid w:val="00C33AEB"/>
    <w:rsid w:val="00C34DE3"/>
    <w:rsid w:val="00C36ED3"/>
    <w:rsid w:val="00C40BA7"/>
    <w:rsid w:val="00C40C98"/>
    <w:rsid w:val="00C40D2F"/>
    <w:rsid w:val="00C411F2"/>
    <w:rsid w:val="00C4279B"/>
    <w:rsid w:val="00C4285B"/>
    <w:rsid w:val="00C429F8"/>
    <w:rsid w:val="00C42A5D"/>
    <w:rsid w:val="00C42D2B"/>
    <w:rsid w:val="00C44103"/>
    <w:rsid w:val="00C4421D"/>
    <w:rsid w:val="00C44557"/>
    <w:rsid w:val="00C452CE"/>
    <w:rsid w:val="00C45BB3"/>
    <w:rsid w:val="00C468F7"/>
    <w:rsid w:val="00C47B67"/>
    <w:rsid w:val="00C516D6"/>
    <w:rsid w:val="00C519EA"/>
    <w:rsid w:val="00C51EA4"/>
    <w:rsid w:val="00C52838"/>
    <w:rsid w:val="00C52986"/>
    <w:rsid w:val="00C533DC"/>
    <w:rsid w:val="00C53868"/>
    <w:rsid w:val="00C5503A"/>
    <w:rsid w:val="00C55952"/>
    <w:rsid w:val="00C55A70"/>
    <w:rsid w:val="00C56192"/>
    <w:rsid w:val="00C5633F"/>
    <w:rsid w:val="00C56B36"/>
    <w:rsid w:val="00C56C54"/>
    <w:rsid w:val="00C56F91"/>
    <w:rsid w:val="00C56F9A"/>
    <w:rsid w:val="00C575BB"/>
    <w:rsid w:val="00C57950"/>
    <w:rsid w:val="00C6195F"/>
    <w:rsid w:val="00C61E16"/>
    <w:rsid w:val="00C63520"/>
    <w:rsid w:val="00C6359D"/>
    <w:rsid w:val="00C644C1"/>
    <w:rsid w:val="00C65605"/>
    <w:rsid w:val="00C662AC"/>
    <w:rsid w:val="00C6759E"/>
    <w:rsid w:val="00C703C0"/>
    <w:rsid w:val="00C708F3"/>
    <w:rsid w:val="00C709ED"/>
    <w:rsid w:val="00C70F9C"/>
    <w:rsid w:val="00C71A89"/>
    <w:rsid w:val="00C72374"/>
    <w:rsid w:val="00C73025"/>
    <w:rsid w:val="00C7448F"/>
    <w:rsid w:val="00C754FE"/>
    <w:rsid w:val="00C7618B"/>
    <w:rsid w:val="00C761F3"/>
    <w:rsid w:val="00C76537"/>
    <w:rsid w:val="00C777AE"/>
    <w:rsid w:val="00C8022E"/>
    <w:rsid w:val="00C80251"/>
    <w:rsid w:val="00C80E68"/>
    <w:rsid w:val="00C8117E"/>
    <w:rsid w:val="00C8163F"/>
    <w:rsid w:val="00C81990"/>
    <w:rsid w:val="00C81EF2"/>
    <w:rsid w:val="00C82654"/>
    <w:rsid w:val="00C82BE9"/>
    <w:rsid w:val="00C84540"/>
    <w:rsid w:val="00C847E0"/>
    <w:rsid w:val="00C865C5"/>
    <w:rsid w:val="00C8689D"/>
    <w:rsid w:val="00C8787C"/>
    <w:rsid w:val="00C9058D"/>
    <w:rsid w:val="00C91007"/>
    <w:rsid w:val="00C91AF3"/>
    <w:rsid w:val="00C920BF"/>
    <w:rsid w:val="00C92B94"/>
    <w:rsid w:val="00C93764"/>
    <w:rsid w:val="00C9378F"/>
    <w:rsid w:val="00C94DD6"/>
    <w:rsid w:val="00C9622A"/>
    <w:rsid w:val="00CA1570"/>
    <w:rsid w:val="00CA15D4"/>
    <w:rsid w:val="00CA1744"/>
    <w:rsid w:val="00CA2521"/>
    <w:rsid w:val="00CA28CE"/>
    <w:rsid w:val="00CA2B8B"/>
    <w:rsid w:val="00CA2BB1"/>
    <w:rsid w:val="00CA3A69"/>
    <w:rsid w:val="00CA456C"/>
    <w:rsid w:val="00CA4A36"/>
    <w:rsid w:val="00CA5005"/>
    <w:rsid w:val="00CA55D7"/>
    <w:rsid w:val="00CA5AF7"/>
    <w:rsid w:val="00CA61B3"/>
    <w:rsid w:val="00CA7C33"/>
    <w:rsid w:val="00CB0C2B"/>
    <w:rsid w:val="00CB13A5"/>
    <w:rsid w:val="00CB1B21"/>
    <w:rsid w:val="00CB1F95"/>
    <w:rsid w:val="00CB22B3"/>
    <w:rsid w:val="00CB2438"/>
    <w:rsid w:val="00CB264D"/>
    <w:rsid w:val="00CB350D"/>
    <w:rsid w:val="00CB3D10"/>
    <w:rsid w:val="00CB4A9A"/>
    <w:rsid w:val="00CB4DCA"/>
    <w:rsid w:val="00CB6412"/>
    <w:rsid w:val="00CB6F89"/>
    <w:rsid w:val="00CB72AD"/>
    <w:rsid w:val="00CB7BBD"/>
    <w:rsid w:val="00CB7C05"/>
    <w:rsid w:val="00CC0F75"/>
    <w:rsid w:val="00CC12B4"/>
    <w:rsid w:val="00CC1354"/>
    <w:rsid w:val="00CC1A90"/>
    <w:rsid w:val="00CC233B"/>
    <w:rsid w:val="00CC45BB"/>
    <w:rsid w:val="00CC4872"/>
    <w:rsid w:val="00CC5AD6"/>
    <w:rsid w:val="00CC5BF6"/>
    <w:rsid w:val="00CC64CF"/>
    <w:rsid w:val="00CC683E"/>
    <w:rsid w:val="00CC6989"/>
    <w:rsid w:val="00CC6A02"/>
    <w:rsid w:val="00CD0650"/>
    <w:rsid w:val="00CD0AA3"/>
    <w:rsid w:val="00CD0DAE"/>
    <w:rsid w:val="00CD0F76"/>
    <w:rsid w:val="00CD175F"/>
    <w:rsid w:val="00CD1865"/>
    <w:rsid w:val="00CD24A6"/>
    <w:rsid w:val="00CD3C3E"/>
    <w:rsid w:val="00CD3EE9"/>
    <w:rsid w:val="00CD4136"/>
    <w:rsid w:val="00CD55ED"/>
    <w:rsid w:val="00CD5719"/>
    <w:rsid w:val="00CD7023"/>
    <w:rsid w:val="00CD71C7"/>
    <w:rsid w:val="00CE09E1"/>
    <w:rsid w:val="00CE0C25"/>
    <w:rsid w:val="00CE2497"/>
    <w:rsid w:val="00CE2BEB"/>
    <w:rsid w:val="00CE3BB8"/>
    <w:rsid w:val="00CE4079"/>
    <w:rsid w:val="00CE418C"/>
    <w:rsid w:val="00CE5872"/>
    <w:rsid w:val="00CE6B77"/>
    <w:rsid w:val="00CE71A5"/>
    <w:rsid w:val="00CE7571"/>
    <w:rsid w:val="00CE782B"/>
    <w:rsid w:val="00CE7973"/>
    <w:rsid w:val="00CF111D"/>
    <w:rsid w:val="00CF2819"/>
    <w:rsid w:val="00CF33D3"/>
    <w:rsid w:val="00CF5214"/>
    <w:rsid w:val="00CF610F"/>
    <w:rsid w:val="00CF61B7"/>
    <w:rsid w:val="00CF6233"/>
    <w:rsid w:val="00CF67A2"/>
    <w:rsid w:val="00CF6913"/>
    <w:rsid w:val="00CF75CF"/>
    <w:rsid w:val="00D0128B"/>
    <w:rsid w:val="00D01D99"/>
    <w:rsid w:val="00D01EE6"/>
    <w:rsid w:val="00D02ED6"/>
    <w:rsid w:val="00D04300"/>
    <w:rsid w:val="00D048A8"/>
    <w:rsid w:val="00D049F4"/>
    <w:rsid w:val="00D04A06"/>
    <w:rsid w:val="00D0576F"/>
    <w:rsid w:val="00D059EF"/>
    <w:rsid w:val="00D060D1"/>
    <w:rsid w:val="00D062A0"/>
    <w:rsid w:val="00D06C34"/>
    <w:rsid w:val="00D06CD9"/>
    <w:rsid w:val="00D07BE9"/>
    <w:rsid w:val="00D10776"/>
    <w:rsid w:val="00D11C8E"/>
    <w:rsid w:val="00D120AA"/>
    <w:rsid w:val="00D12F8B"/>
    <w:rsid w:val="00D1366A"/>
    <w:rsid w:val="00D13C49"/>
    <w:rsid w:val="00D13FCD"/>
    <w:rsid w:val="00D14233"/>
    <w:rsid w:val="00D142C0"/>
    <w:rsid w:val="00D14534"/>
    <w:rsid w:val="00D14C94"/>
    <w:rsid w:val="00D151F3"/>
    <w:rsid w:val="00D1579A"/>
    <w:rsid w:val="00D16BE9"/>
    <w:rsid w:val="00D17B96"/>
    <w:rsid w:val="00D17D64"/>
    <w:rsid w:val="00D201A7"/>
    <w:rsid w:val="00D20287"/>
    <w:rsid w:val="00D202E2"/>
    <w:rsid w:val="00D214D2"/>
    <w:rsid w:val="00D216DC"/>
    <w:rsid w:val="00D219DD"/>
    <w:rsid w:val="00D22CB3"/>
    <w:rsid w:val="00D22D57"/>
    <w:rsid w:val="00D24FB6"/>
    <w:rsid w:val="00D2623D"/>
    <w:rsid w:val="00D2663C"/>
    <w:rsid w:val="00D26C43"/>
    <w:rsid w:val="00D278B7"/>
    <w:rsid w:val="00D304FA"/>
    <w:rsid w:val="00D30624"/>
    <w:rsid w:val="00D30846"/>
    <w:rsid w:val="00D30C53"/>
    <w:rsid w:val="00D30D00"/>
    <w:rsid w:val="00D31500"/>
    <w:rsid w:val="00D31943"/>
    <w:rsid w:val="00D31B49"/>
    <w:rsid w:val="00D31E24"/>
    <w:rsid w:val="00D323D8"/>
    <w:rsid w:val="00D333B8"/>
    <w:rsid w:val="00D33B9E"/>
    <w:rsid w:val="00D341B6"/>
    <w:rsid w:val="00D34AC8"/>
    <w:rsid w:val="00D34B01"/>
    <w:rsid w:val="00D34D0D"/>
    <w:rsid w:val="00D35432"/>
    <w:rsid w:val="00D35437"/>
    <w:rsid w:val="00D355B0"/>
    <w:rsid w:val="00D35679"/>
    <w:rsid w:val="00D361E6"/>
    <w:rsid w:val="00D36CEB"/>
    <w:rsid w:val="00D37D12"/>
    <w:rsid w:val="00D40365"/>
    <w:rsid w:val="00D4048B"/>
    <w:rsid w:val="00D40CAD"/>
    <w:rsid w:val="00D416F8"/>
    <w:rsid w:val="00D41C9F"/>
    <w:rsid w:val="00D42B1D"/>
    <w:rsid w:val="00D42D76"/>
    <w:rsid w:val="00D43911"/>
    <w:rsid w:val="00D44B9E"/>
    <w:rsid w:val="00D44E26"/>
    <w:rsid w:val="00D450FE"/>
    <w:rsid w:val="00D46375"/>
    <w:rsid w:val="00D47E3A"/>
    <w:rsid w:val="00D51445"/>
    <w:rsid w:val="00D519BA"/>
    <w:rsid w:val="00D51D4D"/>
    <w:rsid w:val="00D521D2"/>
    <w:rsid w:val="00D52E66"/>
    <w:rsid w:val="00D53856"/>
    <w:rsid w:val="00D549E6"/>
    <w:rsid w:val="00D54A4D"/>
    <w:rsid w:val="00D55DC6"/>
    <w:rsid w:val="00D564CE"/>
    <w:rsid w:val="00D6038E"/>
    <w:rsid w:val="00D60D1E"/>
    <w:rsid w:val="00D6186D"/>
    <w:rsid w:val="00D620DF"/>
    <w:rsid w:val="00D6283A"/>
    <w:rsid w:val="00D644C8"/>
    <w:rsid w:val="00D6546B"/>
    <w:rsid w:val="00D6627B"/>
    <w:rsid w:val="00D662FB"/>
    <w:rsid w:val="00D67CB2"/>
    <w:rsid w:val="00D70292"/>
    <w:rsid w:val="00D70454"/>
    <w:rsid w:val="00D71156"/>
    <w:rsid w:val="00D7215B"/>
    <w:rsid w:val="00D74047"/>
    <w:rsid w:val="00D745E5"/>
    <w:rsid w:val="00D74742"/>
    <w:rsid w:val="00D749E8"/>
    <w:rsid w:val="00D762AF"/>
    <w:rsid w:val="00D76449"/>
    <w:rsid w:val="00D76870"/>
    <w:rsid w:val="00D76AB2"/>
    <w:rsid w:val="00D76C98"/>
    <w:rsid w:val="00D77E58"/>
    <w:rsid w:val="00D80285"/>
    <w:rsid w:val="00D807AA"/>
    <w:rsid w:val="00D80CED"/>
    <w:rsid w:val="00D80DBC"/>
    <w:rsid w:val="00D82FBA"/>
    <w:rsid w:val="00D83497"/>
    <w:rsid w:val="00D83840"/>
    <w:rsid w:val="00D8390E"/>
    <w:rsid w:val="00D83C41"/>
    <w:rsid w:val="00D84098"/>
    <w:rsid w:val="00D84561"/>
    <w:rsid w:val="00D8460C"/>
    <w:rsid w:val="00D84B8C"/>
    <w:rsid w:val="00D8508B"/>
    <w:rsid w:val="00D87889"/>
    <w:rsid w:val="00D878F4"/>
    <w:rsid w:val="00D9006A"/>
    <w:rsid w:val="00D904E8"/>
    <w:rsid w:val="00D90990"/>
    <w:rsid w:val="00D90DED"/>
    <w:rsid w:val="00D91347"/>
    <w:rsid w:val="00D91A7B"/>
    <w:rsid w:val="00D91B78"/>
    <w:rsid w:val="00D93054"/>
    <w:rsid w:val="00D930BC"/>
    <w:rsid w:val="00D93BD1"/>
    <w:rsid w:val="00D940AB"/>
    <w:rsid w:val="00D9530F"/>
    <w:rsid w:val="00D95596"/>
    <w:rsid w:val="00D95D45"/>
    <w:rsid w:val="00D95EFB"/>
    <w:rsid w:val="00D96C89"/>
    <w:rsid w:val="00D97096"/>
    <w:rsid w:val="00D97771"/>
    <w:rsid w:val="00D97E97"/>
    <w:rsid w:val="00DA1738"/>
    <w:rsid w:val="00DA2013"/>
    <w:rsid w:val="00DA2466"/>
    <w:rsid w:val="00DA259F"/>
    <w:rsid w:val="00DA2C77"/>
    <w:rsid w:val="00DA2D8B"/>
    <w:rsid w:val="00DA3401"/>
    <w:rsid w:val="00DA359B"/>
    <w:rsid w:val="00DA38CB"/>
    <w:rsid w:val="00DA3991"/>
    <w:rsid w:val="00DA3C4B"/>
    <w:rsid w:val="00DA42EF"/>
    <w:rsid w:val="00DA4438"/>
    <w:rsid w:val="00DA60C4"/>
    <w:rsid w:val="00DA68F4"/>
    <w:rsid w:val="00DB0542"/>
    <w:rsid w:val="00DB1383"/>
    <w:rsid w:val="00DB17F8"/>
    <w:rsid w:val="00DB1F0B"/>
    <w:rsid w:val="00DB22B8"/>
    <w:rsid w:val="00DB4425"/>
    <w:rsid w:val="00DB4BA0"/>
    <w:rsid w:val="00DB52D2"/>
    <w:rsid w:val="00DB53ED"/>
    <w:rsid w:val="00DB6766"/>
    <w:rsid w:val="00DB76D2"/>
    <w:rsid w:val="00DB7A17"/>
    <w:rsid w:val="00DC1948"/>
    <w:rsid w:val="00DC2D84"/>
    <w:rsid w:val="00DC2ED9"/>
    <w:rsid w:val="00DC2F0F"/>
    <w:rsid w:val="00DC36DC"/>
    <w:rsid w:val="00DC385C"/>
    <w:rsid w:val="00DC519E"/>
    <w:rsid w:val="00DC54BF"/>
    <w:rsid w:val="00DC5947"/>
    <w:rsid w:val="00DC6986"/>
    <w:rsid w:val="00DD0AE3"/>
    <w:rsid w:val="00DD1009"/>
    <w:rsid w:val="00DD1A3A"/>
    <w:rsid w:val="00DD1C3C"/>
    <w:rsid w:val="00DD3C82"/>
    <w:rsid w:val="00DD3D8F"/>
    <w:rsid w:val="00DD3E21"/>
    <w:rsid w:val="00DD50C7"/>
    <w:rsid w:val="00DD536E"/>
    <w:rsid w:val="00DD56ED"/>
    <w:rsid w:val="00DD5A34"/>
    <w:rsid w:val="00DD62CD"/>
    <w:rsid w:val="00DD7577"/>
    <w:rsid w:val="00DD7EE3"/>
    <w:rsid w:val="00DE0479"/>
    <w:rsid w:val="00DE14DB"/>
    <w:rsid w:val="00DE1984"/>
    <w:rsid w:val="00DE20C2"/>
    <w:rsid w:val="00DE40CC"/>
    <w:rsid w:val="00DE53FF"/>
    <w:rsid w:val="00DE56A4"/>
    <w:rsid w:val="00DE5AC1"/>
    <w:rsid w:val="00DE5D72"/>
    <w:rsid w:val="00DE617C"/>
    <w:rsid w:val="00DE645C"/>
    <w:rsid w:val="00DE72FF"/>
    <w:rsid w:val="00DE7359"/>
    <w:rsid w:val="00DE741D"/>
    <w:rsid w:val="00DE752D"/>
    <w:rsid w:val="00DE7765"/>
    <w:rsid w:val="00DE796A"/>
    <w:rsid w:val="00DE7A40"/>
    <w:rsid w:val="00DE7E2F"/>
    <w:rsid w:val="00DF03CE"/>
    <w:rsid w:val="00DF06BD"/>
    <w:rsid w:val="00DF0F72"/>
    <w:rsid w:val="00DF1BDD"/>
    <w:rsid w:val="00DF2054"/>
    <w:rsid w:val="00DF242C"/>
    <w:rsid w:val="00DF3063"/>
    <w:rsid w:val="00DF37B8"/>
    <w:rsid w:val="00DF4469"/>
    <w:rsid w:val="00DF48C7"/>
    <w:rsid w:val="00DF525E"/>
    <w:rsid w:val="00DF5629"/>
    <w:rsid w:val="00DF580A"/>
    <w:rsid w:val="00DF5E90"/>
    <w:rsid w:val="00DF6173"/>
    <w:rsid w:val="00DF674B"/>
    <w:rsid w:val="00DF6A10"/>
    <w:rsid w:val="00DF6EE7"/>
    <w:rsid w:val="00DF76F5"/>
    <w:rsid w:val="00DF798A"/>
    <w:rsid w:val="00DF7B6F"/>
    <w:rsid w:val="00DF7C0A"/>
    <w:rsid w:val="00E00396"/>
    <w:rsid w:val="00E01C06"/>
    <w:rsid w:val="00E02287"/>
    <w:rsid w:val="00E02B1D"/>
    <w:rsid w:val="00E033C9"/>
    <w:rsid w:val="00E03A02"/>
    <w:rsid w:val="00E03A5C"/>
    <w:rsid w:val="00E03FBB"/>
    <w:rsid w:val="00E05519"/>
    <w:rsid w:val="00E05966"/>
    <w:rsid w:val="00E05FB0"/>
    <w:rsid w:val="00E063CC"/>
    <w:rsid w:val="00E06451"/>
    <w:rsid w:val="00E07DBA"/>
    <w:rsid w:val="00E103CB"/>
    <w:rsid w:val="00E106CB"/>
    <w:rsid w:val="00E10AF5"/>
    <w:rsid w:val="00E10D38"/>
    <w:rsid w:val="00E1242C"/>
    <w:rsid w:val="00E129E8"/>
    <w:rsid w:val="00E1305D"/>
    <w:rsid w:val="00E13189"/>
    <w:rsid w:val="00E14031"/>
    <w:rsid w:val="00E145AA"/>
    <w:rsid w:val="00E152F0"/>
    <w:rsid w:val="00E16326"/>
    <w:rsid w:val="00E165A0"/>
    <w:rsid w:val="00E17914"/>
    <w:rsid w:val="00E20158"/>
    <w:rsid w:val="00E2030F"/>
    <w:rsid w:val="00E203DA"/>
    <w:rsid w:val="00E2043F"/>
    <w:rsid w:val="00E204AE"/>
    <w:rsid w:val="00E20AF2"/>
    <w:rsid w:val="00E22CFA"/>
    <w:rsid w:val="00E23DD3"/>
    <w:rsid w:val="00E2429C"/>
    <w:rsid w:val="00E249E4"/>
    <w:rsid w:val="00E259E4"/>
    <w:rsid w:val="00E268CA"/>
    <w:rsid w:val="00E26E9A"/>
    <w:rsid w:val="00E27514"/>
    <w:rsid w:val="00E2761F"/>
    <w:rsid w:val="00E30548"/>
    <w:rsid w:val="00E30D00"/>
    <w:rsid w:val="00E30D91"/>
    <w:rsid w:val="00E30F8E"/>
    <w:rsid w:val="00E30FED"/>
    <w:rsid w:val="00E317BC"/>
    <w:rsid w:val="00E33A8F"/>
    <w:rsid w:val="00E33B2F"/>
    <w:rsid w:val="00E3481D"/>
    <w:rsid w:val="00E36546"/>
    <w:rsid w:val="00E36AF1"/>
    <w:rsid w:val="00E37CF8"/>
    <w:rsid w:val="00E37E46"/>
    <w:rsid w:val="00E411D7"/>
    <w:rsid w:val="00E413A0"/>
    <w:rsid w:val="00E4192E"/>
    <w:rsid w:val="00E42BA8"/>
    <w:rsid w:val="00E4345F"/>
    <w:rsid w:val="00E43C57"/>
    <w:rsid w:val="00E44A76"/>
    <w:rsid w:val="00E44B34"/>
    <w:rsid w:val="00E45819"/>
    <w:rsid w:val="00E46180"/>
    <w:rsid w:val="00E46E7D"/>
    <w:rsid w:val="00E502E2"/>
    <w:rsid w:val="00E5056C"/>
    <w:rsid w:val="00E51127"/>
    <w:rsid w:val="00E52507"/>
    <w:rsid w:val="00E52E94"/>
    <w:rsid w:val="00E54B2F"/>
    <w:rsid w:val="00E54D8F"/>
    <w:rsid w:val="00E55220"/>
    <w:rsid w:val="00E55AF8"/>
    <w:rsid w:val="00E55E06"/>
    <w:rsid w:val="00E56F9B"/>
    <w:rsid w:val="00E57484"/>
    <w:rsid w:val="00E6059A"/>
    <w:rsid w:val="00E60741"/>
    <w:rsid w:val="00E608D4"/>
    <w:rsid w:val="00E6107B"/>
    <w:rsid w:val="00E622E1"/>
    <w:rsid w:val="00E62AE3"/>
    <w:rsid w:val="00E62EF1"/>
    <w:rsid w:val="00E647D0"/>
    <w:rsid w:val="00E64943"/>
    <w:rsid w:val="00E64ABF"/>
    <w:rsid w:val="00E65E0E"/>
    <w:rsid w:val="00E660E4"/>
    <w:rsid w:val="00E6690E"/>
    <w:rsid w:val="00E66BD8"/>
    <w:rsid w:val="00E67540"/>
    <w:rsid w:val="00E67FF8"/>
    <w:rsid w:val="00E70450"/>
    <w:rsid w:val="00E70841"/>
    <w:rsid w:val="00E70D5B"/>
    <w:rsid w:val="00E70FCA"/>
    <w:rsid w:val="00E71709"/>
    <w:rsid w:val="00E71E96"/>
    <w:rsid w:val="00E72462"/>
    <w:rsid w:val="00E72A9D"/>
    <w:rsid w:val="00E72E3D"/>
    <w:rsid w:val="00E7306F"/>
    <w:rsid w:val="00E735B1"/>
    <w:rsid w:val="00E737B8"/>
    <w:rsid w:val="00E73B13"/>
    <w:rsid w:val="00E7408C"/>
    <w:rsid w:val="00E742D5"/>
    <w:rsid w:val="00E74B50"/>
    <w:rsid w:val="00E759E2"/>
    <w:rsid w:val="00E761FE"/>
    <w:rsid w:val="00E809FD"/>
    <w:rsid w:val="00E822C8"/>
    <w:rsid w:val="00E82DFF"/>
    <w:rsid w:val="00E830B6"/>
    <w:rsid w:val="00E8389D"/>
    <w:rsid w:val="00E841D8"/>
    <w:rsid w:val="00E8430B"/>
    <w:rsid w:val="00E84342"/>
    <w:rsid w:val="00E849D2"/>
    <w:rsid w:val="00E84ED6"/>
    <w:rsid w:val="00E8501B"/>
    <w:rsid w:val="00E85E0A"/>
    <w:rsid w:val="00E8620D"/>
    <w:rsid w:val="00E865AE"/>
    <w:rsid w:val="00E86C3A"/>
    <w:rsid w:val="00E87613"/>
    <w:rsid w:val="00E90C8E"/>
    <w:rsid w:val="00E92099"/>
    <w:rsid w:val="00E92236"/>
    <w:rsid w:val="00E9280E"/>
    <w:rsid w:val="00E9337C"/>
    <w:rsid w:val="00E9582E"/>
    <w:rsid w:val="00E95C7B"/>
    <w:rsid w:val="00E96AED"/>
    <w:rsid w:val="00E96D64"/>
    <w:rsid w:val="00E979C4"/>
    <w:rsid w:val="00E97BB4"/>
    <w:rsid w:val="00E97C6B"/>
    <w:rsid w:val="00EA0985"/>
    <w:rsid w:val="00EA0F6B"/>
    <w:rsid w:val="00EA12FC"/>
    <w:rsid w:val="00EA2580"/>
    <w:rsid w:val="00EA2890"/>
    <w:rsid w:val="00EA2B12"/>
    <w:rsid w:val="00EA44A1"/>
    <w:rsid w:val="00EA46F8"/>
    <w:rsid w:val="00EA5264"/>
    <w:rsid w:val="00EA5346"/>
    <w:rsid w:val="00EA59A7"/>
    <w:rsid w:val="00EA6268"/>
    <w:rsid w:val="00EA6F8A"/>
    <w:rsid w:val="00EA72F7"/>
    <w:rsid w:val="00EA74B7"/>
    <w:rsid w:val="00EA753F"/>
    <w:rsid w:val="00EB035E"/>
    <w:rsid w:val="00EB0500"/>
    <w:rsid w:val="00EB0830"/>
    <w:rsid w:val="00EB0921"/>
    <w:rsid w:val="00EB17CA"/>
    <w:rsid w:val="00EB2AFE"/>
    <w:rsid w:val="00EB2FAB"/>
    <w:rsid w:val="00EB306B"/>
    <w:rsid w:val="00EB30F3"/>
    <w:rsid w:val="00EB3188"/>
    <w:rsid w:val="00EB4683"/>
    <w:rsid w:val="00EB55BD"/>
    <w:rsid w:val="00EB6589"/>
    <w:rsid w:val="00EB6F44"/>
    <w:rsid w:val="00EB71A4"/>
    <w:rsid w:val="00EB7BBF"/>
    <w:rsid w:val="00EC03B5"/>
    <w:rsid w:val="00EC153A"/>
    <w:rsid w:val="00EC19E4"/>
    <w:rsid w:val="00EC1FC1"/>
    <w:rsid w:val="00EC2684"/>
    <w:rsid w:val="00EC2BCE"/>
    <w:rsid w:val="00EC2CB3"/>
    <w:rsid w:val="00EC353F"/>
    <w:rsid w:val="00EC3F78"/>
    <w:rsid w:val="00EC4B80"/>
    <w:rsid w:val="00EC4C4E"/>
    <w:rsid w:val="00EC55C9"/>
    <w:rsid w:val="00EC5805"/>
    <w:rsid w:val="00EC5DD5"/>
    <w:rsid w:val="00EC61B0"/>
    <w:rsid w:val="00EC7019"/>
    <w:rsid w:val="00EC785B"/>
    <w:rsid w:val="00EC7EA4"/>
    <w:rsid w:val="00ED0444"/>
    <w:rsid w:val="00ED0A07"/>
    <w:rsid w:val="00ED0AE9"/>
    <w:rsid w:val="00ED0FE0"/>
    <w:rsid w:val="00ED1961"/>
    <w:rsid w:val="00ED1ADB"/>
    <w:rsid w:val="00ED2FA1"/>
    <w:rsid w:val="00ED40AA"/>
    <w:rsid w:val="00ED570D"/>
    <w:rsid w:val="00ED5BBB"/>
    <w:rsid w:val="00ED65BD"/>
    <w:rsid w:val="00ED7B57"/>
    <w:rsid w:val="00EE04D2"/>
    <w:rsid w:val="00EE20F5"/>
    <w:rsid w:val="00EE21E2"/>
    <w:rsid w:val="00EE24B4"/>
    <w:rsid w:val="00EE2CCA"/>
    <w:rsid w:val="00EE2E58"/>
    <w:rsid w:val="00EE39D7"/>
    <w:rsid w:val="00EE45F9"/>
    <w:rsid w:val="00EE5D01"/>
    <w:rsid w:val="00EE5D53"/>
    <w:rsid w:val="00EE6736"/>
    <w:rsid w:val="00EE6856"/>
    <w:rsid w:val="00EE6B8C"/>
    <w:rsid w:val="00EE6F73"/>
    <w:rsid w:val="00EE7515"/>
    <w:rsid w:val="00EF0492"/>
    <w:rsid w:val="00EF092A"/>
    <w:rsid w:val="00EF3228"/>
    <w:rsid w:val="00EF3B93"/>
    <w:rsid w:val="00EF56A4"/>
    <w:rsid w:val="00EF5736"/>
    <w:rsid w:val="00EF5767"/>
    <w:rsid w:val="00EF5E7D"/>
    <w:rsid w:val="00EF66D0"/>
    <w:rsid w:val="00EF6F68"/>
    <w:rsid w:val="00F00369"/>
    <w:rsid w:val="00F00EA4"/>
    <w:rsid w:val="00F0221E"/>
    <w:rsid w:val="00F0232A"/>
    <w:rsid w:val="00F02E83"/>
    <w:rsid w:val="00F056DC"/>
    <w:rsid w:val="00F05FF3"/>
    <w:rsid w:val="00F07D6D"/>
    <w:rsid w:val="00F11275"/>
    <w:rsid w:val="00F1180D"/>
    <w:rsid w:val="00F11AAA"/>
    <w:rsid w:val="00F12224"/>
    <w:rsid w:val="00F12555"/>
    <w:rsid w:val="00F131BA"/>
    <w:rsid w:val="00F13C50"/>
    <w:rsid w:val="00F15AEE"/>
    <w:rsid w:val="00F15F76"/>
    <w:rsid w:val="00F16468"/>
    <w:rsid w:val="00F176ED"/>
    <w:rsid w:val="00F17B4D"/>
    <w:rsid w:val="00F17EA7"/>
    <w:rsid w:val="00F208AD"/>
    <w:rsid w:val="00F23A6D"/>
    <w:rsid w:val="00F24460"/>
    <w:rsid w:val="00F24CAB"/>
    <w:rsid w:val="00F26391"/>
    <w:rsid w:val="00F269FF"/>
    <w:rsid w:val="00F27288"/>
    <w:rsid w:val="00F27384"/>
    <w:rsid w:val="00F27633"/>
    <w:rsid w:val="00F30A50"/>
    <w:rsid w:val="00F30B67"/>
    <w:rsid w:val="00F30BDF"/>
    <w:rsid w:val="00F31E5E"/>
    <w:rsid w:val="00F3263C"/>
    <w:rsid w:val="00F32838"/>
    <w:rsid w:val="00F335E8"/>
    <w:rsid w:val="00F34942"/>
    <w:rsid w:val="00F34FEC"/>
    <w:rsid w:val="00F35A5D"/>
    <w:rsid w:val="00F375BF"/>
    <w:rsid w:val="00F40065"/>
    <w:rsid w:val="00F407F2"/>
    <w:rsid w:val="00F40A9D"/>
    <w:rsid w:val="00F40DA4"/>
    <w:rsid w:val="00F4118A"/>
    <w:rsid w:val="00F419D9"/>
    <w:rsid w:val="00F41B83"/>
    <w:rsid w:val="00F42197"/>
    <w:rsid w:val="00F42386"/>
    <w:rsid w:val="00F42642"/>
    <w:rsid w:val="00F4348F"/>
    <w:rsid w:val="00F441AF"/>
    <w:rsid w:val="00F443AB"/>
    <w:rsid w:val="00F445B1"/>
    <w:rsid w:val="00F44A0C"/>
    <w:rsid w:val="00F4564F"/>
    <w:rsid w:val="00F46A00"/>
    <w:rsid w:val="00F47599"/>
    <w:rsid w:val="00F47C2F"/>
    <w:rsid w:val="00F47DAA"/>
    <w:rsid w:val="00F47F8C"/>
    <w:rsid w:val="00F51D90"/>
    <w:rsid w:val="00F521DA"/>
    <w:rsid w:val="00F523A4"/>
    <w:rsid w:val="00F52D34"/>
    <w:rsid w:val="00F53F09"/>
    <w:rsid w:val="00F54922"/>
    <w:rsid w:val="00F562CB"/>
    <w:rsid w:val="00F5638F"/>
    <w:rsid w:val="00F5680F"/>
    <w:rsid w:val="00F568CF"/>
    <w:rsid w:val="00F568E0"/>
    <w:rsid w:val="00F572A5"/>
    <w:rsid w:val="00F57D68"/>
    <w:rsid w:val="00F6006C"/>
    <w:rsid w:val="00F6195B"/>
    <w:rsid w:val="00F61AF1"/>
    <w:rsid w:val="00F622B2"/>
    <w:rsid w:val="00F62B47"/>
    <w:rsid w:val="00F62B9A"/>
    <w:rsid w:val="00F645AA"/>
    <w:rsid w:val="00F64D42"/>
    <w:rsid w:val="00F66303"/>
    <w:rsid w:val="00F66B86"/>
    <w:rsid w:val="00F66C53"/>
    <w:rsid w:val="00F66C85"/>
    <w:rsid w:val="00F67DAF"/>
    <w:rsid w:val="00F70025"/>
    <w:rsid w:val="00F70226"/>
    <w:rsid w:val="00F70AB1"/>
    <w:rsid w:val="00F70B56"/>
    <w:rsid w:val="00F71E17"/>
    <w:rsid w:val="00F72826"/>
    <w:rsid w:val="00F728CE"/>
    <w:rsid w:val="00F72FF7"/>
    <w:rsid w:val="00F73A8D"/>
    <w:rsid w:val="00F74716"/>
    <w:rsid w:val="00F74AF3"/>
    <w:rsid w:val="00F75AD1"/>
    <w:rsid w:val="00F75F79"/>
    <w:rsid w:val="00F7627B"/>
    <w:rsid w:val="00F769C9"/>
    <w:rsid w:val="00F77035"/>
    <w:rsid w:val="00F774CA"/>
    <w:rsid w:val="00F77B82"/>
    <w:rsid w:val="00F816E4"/>
    <w:rsid w:val="00F820F6"/>
    <w:rsid w:val="00F8339D"/>
    <w:rsid w:val="00F833A9"/>
    <w:rsid w:val="00F83E5F"/>
    <w:rsid w:val="00F841F5"/>
    <w:rsid w:val="00F8464C"/>
    <w:rsid w:val="00F854AC"/>
    <w:rsid w:val="00F8630F"/>
    <w:rsid w:val="00F86DA3"/>
    <w:rsid w:val="00F86FF9"/>
    <w:rsid w:val="00F8700B"/>
    <w:rsid w:val="00F8766D"/>
    <w:rsid w:val="00F87AA6"/>
    <w:rsid w:val="00F90BF3"/>
    <w:rsid w:val="00F9127D"/>
    <w:rsid w:val="00F91C92"/>
    <w:rsid w:val="00F921DD"/>
    <w:rsid w:val="00F92267"/>
    <w:rsid w:val="00F92644"/>
    <w:rsid w:val="00F930DF"/>
    <w:rsid w:val="00F93597"/>
    <w:rsid w:val="00F942C2"/>
    <w:rsid w:val="00F94B0A"/>
    <w:rsid w:val="00F97D2C"/>
    <w:rsid w:val="00FA00EA"/>
    <w:rsid w:val="00FA0C5B"/>
    <w:rsid w:val="00FA11DE"/>
    <w:rsid w:val="00FA2788"/>
    <w:rsid w:val="00FA618D"/>
    <w:rsid w:val="00FA69FC"/>
    <w:rsid w:val="00FA6A0C"/>
    <w:rsid w:val="00FA6D92"/>
    <w:rsid w:val="00FA71E5"/>
    <w:rsid w:val="00FA7572"/>
    <w:rsid w:val="00FA7BE9"/>
    <w:rsid w:val="00FB01F5"/>
    <w:rsid w:val="00FB0235"/>
    <w:rsid w:val="00FB0315"/>
    <w:rsid w:val="00FB1103"/>
    <w:rsid w:val="00FB2B47"/>
    <w:rsid w:val="00FB3329"/>
    <w:rsid w:val="00FB3547"/>
    <w:rsid w:val="00FB3CEF"/>
    <w:rsid w:val="00FB460B"/>
    <w:rsid w:val="00FB4E2C"/>
    <w:rsid w:val="00FB55AD"/>
    <w:rsid w:val="00FB7DF1"/>
    <w:rsid w:val="00FC02EC"/>
    <w:rsid w:val="00FC0DC1"/>
    <w:rsid w:val="00FC1396"/>
    <w:rsid w:val="00FC168A"/>
    <w:rsid w:val="00FC1B8A"/>
    <w:rsid w:val="00FC1BEC"/>
    <w:rsid w:val="00FC24AF"/>
    <w:rsid w:val="00FC2FE1"/>
    <w:rsid w:val="00FC3656"/>
    <w:rsid w:val="00FC3B97"/>
    <w:rsid w:val="00FC41D8"/>
    <w:rsid w:val="00FC565B"/>
    <w:rsid w:val="00FC5D4A"/>
    <w:rsid w:val="00FD08BE"/>
    <w:rsid w:val="00FD1D28"/>
    <w:rsid w:val="00FD1DD6"/>
    <w:rsid w:val="00FD1FBA"/>
    <w:rsid w:val="00FD2C4D"/>
    <w:rsid w:val="00FD3A80"/>
    <w:rsid w:val="00FD504C"/>
    <w:rsid w:val="00FD59AB"/>
    <w:rsid w:val="00FD608C"/>
    <w:rsid w:val="00FD6107"/>
    <w:rsid w:val="00FD6337"/>
    <w:rsid w:val="00FD6C63"/>
    <w:rsid w:val="00FD6D4D"/>
    <w:rsid w:val="00FE03D6"/>
    <w:rsid w:val="00FE0687"/>
    <w:rsid w:val="00FE0A22"/>
    <w:rsid w:val="00FE167F"/>
    <w:rsid w:val="00FE17D8"/>
    <w:rsid w:val="00FE1E92"/>
    <w:rsid w:val="00FE20B0"/>
    <w:rsid w:val="00FE22D8"/>
    <w:rsid w:val="00FE23E1"/>
    <w:rsid w:val="00FE3E9F"/>
    <w:rsid w:val="00FE5C0E"/>
    <w:rsid w:val="00FE60CD"/>
    <w:rsid w:val="00FF02C6"/>
    <w:rsid w:val="00FF05F2"/>
    <w:rsid w:val="00FF0D83"/>
    <w:rsid w:val="00FF3F59"/>
    <w:rsid w:val="00FF4D90"/>
    <w:rsid w:val="00FF4E4C"/>
    <w:rsid w:val="00FF4FD8"/>
    <w:rsid w:val="00FF5287"/>
    <w:rsid w:val="00FF6AD9"/>
    <w:rsid w:val="00FF7257"/>
    <w:rsid w:val="00FF729B"/>
    <w:rsid w:val="00FF79AB"/>
    <w:rsid w:val="00FF7B98"/>
    <w:rsid w:val="01041A91"/>
    <w:rsid w:val="018B5B00"/>
    <w:rsid w:val="01DA2669"/>
    <w:rsid w:val="01EF1329"/>
    <w:rsid w:val="02040E60"/>
    <w:rsid w:val="0264100F"/>
    <w:rsid w:val="02737AA0"/>
    <w:rsid w:val="027661DE"/>
    <w:rsid w:val="02B871D8"/>
    <w:rsid w:val="03C41A0A"/>
    <w:rsid w:val="03CE15EC"/>
    <w:rsid w:val="03D9348A"/>
    <w:rsid w:val="043C354E"/>
    <w:rsid w:val="04485192"/>
    <w:rsid w:val="046E34DE"/>
    <w:rsid w:val="0483079E"/>
    <w:rsid w:val="04A70777"/>
    <w:rsid w:val="05446E7B"/>
    <w:rsid w:val="05781AEB"/>
    <w:rsid w:val="05917805"/>
    <w:rsid w:val="05C62913"/>
    <w:rsid w:val="07395F48"/>
    <w:rsid w:val="073E7D4F"/>
    <w:rsid w:val="075E49A9"/>
    <w:rsid w:val="07D14BD6"/>
    <w:rsid w:val="080D79C9"/>
    <w:rsid w:val="09281229"/>
    <w:rsid w:val="093F26B9"/>
    <w:rsid w:val="095970FB"/>
    <w:rsid w:val="09CA0FC0"/>
    <w:rsid w:val="0A244012"/>
    <w:rsid w:val="0A4750B0"/>
    <w:rsid w:val="0A504228"/>
    <w:rsid w:val="0A621F5F"/>
    <w:rsid w:val="0AC36DAE"/>
    <w:rsid w:val="0B21560C"/>
    <w:rsid w:val="0C3D2787"/>
    <w:rsid w:val="0C546D2E"/>
    <w:rsid w:val="0CE94122"/>
    <w:rsid w:val="0D0D0F69"/>
    <w:rsid w:val="0D812CBE"/>
    <w:rsid w:val="0D9645E4"/>
    <w:rsid w:val="0DA77509"/>
    <w:rsid w:val="0DEC6AA8"/>
    <w:rsid w:val="0DF25ADF"/>
    <w:rsid w:val="0E224F9A"/>
    <w:rsid w:val="0EA71215"/>
    <w:rsid w:val="0F0D7666"/>
    <w:rsid w:val="0F2C2DD3"/>
    <w:rsid w:val="0F3756E0"/>
    <w:rsid w:val="0F3D7069"/>
    <w:rsid w:val="0F4F5303"/>
    <w:rsid w:val="0FBD6E14"/>
    <w:rsid w:val="108B2BE1"/>
    <w:rsid w:val="11486DAE"/>
    <w:rsid w:val="11763891"/>
    <w:rsid w:val="11E07B40"/>
    <w:rsid w:val="11EA05A4"/>
    <w:rsid w:val="11F8531E"/>
    <w:rsid w:val="12602CEB"/>
    <w:rsid w:val="12C47D2D"/>
    <w:rsid w:val="12FE5CF2"/>
    <w:rsid w:val="131C0CE8"/>
    <w:rsid w:val="13EE5E6D"/>
    <w:rsid w:val="14B81DFC"/>
    <w:rsid w:val="15226523"/>
    <w:rsid w:val="156871AB"/>
    <w:rsid w:val="159C34CA"/>
    <w:rsid w:val="15C472A7"/>
    <w:rsid w:val="15CE07B4"/>
    <w:rsid w:val="16015AB0"/>
    <w:rsid w:val="16712DA0"/>
    <w:rsid w:val="16E44443"/>
    <w:rsid w:val="1709748B"/>
    <w:rsid w:val="171E4693"/>
    <w:rsid w:val="17EA6114"/>
    <w:rsid w:val="1801394C"/>
    <w:rsid w:val="180170F9"/>
    <w:rsid w:val="1803642D"/>
    <w:rsid w:val="181470E8"/>
    <w:rsid w:val="1882574B"/>
    <w:rsid w:val="189D15B2"/>
    <w:rsid w:val="18DD2BCE"/>
    <w:rsid w:val="197763A3"/>
    <w:rsid w:val="19C84509"/>
    <w:rsid w:val="1A906786"/>
    <w:rsid w:val="1AED6CFA"/>
    <w:rsid w:val="1AFF1946"/>
    <w:rsid w:val="1B096B66"/>
    <w:rsid w:val="1B5748B2"/>
    <w:rsid w:val="1BD51477"/>
    <w:rsid w:val="1C1B070F"/>
    <w:rsid w:val="1C7867F9"/>
    <w:rsid w:val="1C8A1B6B"/>
    <w:rsid w:val="1CC42AA3"/>
    <w:rsid w:val="1CDE6598"/>
    <w:rsid w:val="1D023137"/>
    <w:rsid w:val="1D117A1E"/>
    <w:rsid w:val="1D745075"/>
    <w:rsid w:val="1DF5681A"/>
    <w:rsid w:val="1E0D458A"/>
    <w:rsid w:val="1E2865D0"/>
    <w:rsid w:val="1EB15A4A"/>
    <w:rsid w:val="1F046EC2"/>
    <w:rsid w:val="1F966FA3"/>
    <w:rsid w:val="1FC16896"/>
    <w:rsid w:val="1FDF6804"/>
    <w:rsid w:val="20CF2C81"/>
    <w:rsid w:val="210245BC"/>
    <w:rsid w:val="220C4FF4"/>
    <w:rsid w:val="221B6B56"/>
    <w:rsid w:val="22DD56EF"/>
    <w:rsid w:val="237A14D9"/>
    <w:rsid w:val="238202B4"/>
    <w:rsid w:val="245E60BE"/>
    <w:rsid w:val="24856313"/>
    <w:rsid w:val="24CA2C6F"/>
    <w:rsid w:val="255D074E"/>
    <w:rsid w:val="264C7EB3"/>
    <w:rsid w:val="266752F7"/>
    <w:rsid w:val="268407C8"/>
    <w:rsid w:val="268502C1"/>
    <w:rsid w:val="27B3047E"/>
    <w:rsid w:val="27E47D1E"/>
    <w:rsid w:val="284149D7"/>
    <w:rsid w:val="287132B3"/>
    <w:rsid w:val="28CD7357"/>
    <w:rsid w:val="28F62A31"/>
    <w:rsid w:val="29046239"/>
    <w:rsid w:val="29046240"/>
    <w:rsid w:val="29312585"/>
    <w:rsid w:val="296C33FB"/>
    <w:rsid w:val="29C15E10"/>
    <w:rsid w:val="2A447B8C"/>
    <w:rsid w:val="2A9E5E9C"/>
    <w:rsid w:val="2ADD5435"/>
    <w:rsid w:val="2B783AE7"/>
    <w:rsid w:val="2B911330"/>
    <w:rsid w:val="2BAA5EBA"/>
    <w:rsid w:val="2BFB2B48"/>
    <w:rsid w:val="2C7D55B3"/>
    <w:rsid w:val="2CC36B2C"/>
    <w:rsid w:val="2D533D70"/>
    <w:rsid w:val="2E3A43D9"/>
    <w:rsid w:val="2EBB6CEE"/>
    <w:rsid w:val="2F8E14F4"/>
    <w:rsid w:val="30606DF6"/>
    <w:rsid w:val="30B163E1"/>
    <w:rsid w:val="30D4781A"/>
    <w:rsid w:val="310F28E7"/>
    <w:rsid w:val="3131376D"/>
    <w:rsid w:val="318654A2"/>
    <w:rsid w:val="31D35354"/>
    <w:rsid w:val="322A345A"/>
    <w:rsid w:val="328F7419"/>
    <w:rsid w:val="32D51E54"/>
    <w:rsid w:val="32F64C0A"/>
    <w:rsid w:val="338719E6"/>
    <w:rsid w:val="3392421C"/>
    <w:rsid w:val="34036CD1"/>
    <w:rsid w:val="342C5B9A"/>
    <w:rsid w:val="34C85348"/>
    <w:rsid w:val="350D31D1"/>
    <w:rsid w:val="35111608"/>
    <w:rsid w:val="35454CD0"/>
    <w:rsid w:val="354D0529"/>
    <w:rsid w:val="356A7B33"/>
    <w:rsid w:val="35CA5686"/>
    <w:rsid w:val="35E12182"/>
    <w:rsid w:val="360E33A6"/>
    <w:rsid w:val="36FF683B"/>
    <w:rsid w:val="37101AD6"/>
    <w:rsid w:val="371476DE"/>
    <w:rsid w:val="37D24F2B"/>
    <w:rsid w:val="37D60C3C"/>
    <w:rsid w:val="37F2155A"/>
    <w:rsid w:val="382E5A0E"/>
    <w:rsid w:val="386D6659"/>
    <w:rsid w:val="38747C02"/>
    <w:rsid w:val="387E25FF"/>
    <w:rsid w:val="38AF06DE"/>
    <w:rsid w:val="38E36ACF"/>
    <w:rsid w:val="38EC0DD8"/>
    <w:rsid w:val="38F054DF"/>
    <w:rsid w:val="39154277"/>
    <w:rsid w:val="3947618E"/>
    <w:rsid w:val="398D77EF"/>
    <w:rsid w:val="39B474BF"/>
    <w:rsid w:val="39E54227"/>
    <w:rsid w:val="39FB6DCF"/>
    <w:rsid w:val="3A1931B5"/>
    <w:rsid w:val="3B3E7C60"/>
    <w:rsid w:val="3B945031"/>
    <w:rsid w:val="3BED5C1E"/>
    <w:rsid w:val="3CAD335E"/>
    <w:rsid w:val="3CB345B7"/>
    <w:rsid w:val="3D3E1B8A"/>
    <w:rsid w:val="3D74048B"/>
    <w:rsid w:val="3E187262"/>
    <w:rsid w:val="3E7E3189"/>
    <w:rsid w:val="3EC04298"/>
    <w:rsid w:val="3EDB6F76"/>
    <w:rsid w:val="3F1E2BBF"/>
    <w:rsid w:val="3F870D7F"/>
    <w:rsid w:val="3FC5548A"/>
    <w:rsid w:val="40375E29"/>
    <w:rsid w:val="40573046"/>
    <w:rsid w:val="409057A1"/>
    <w:rsid w:val="41055A18"/>
    <w:rsid w:val="415E101A"/>
    <w:rsid w:val="41692E7C"/>
    <w:rsid w:val="418A0239"/>
    <w:rsid w:val="41A9618C"/>
    <w:rsid w:val="41D80D89"/>
    <w:rsid w:val="43240C13"/>
    <w:rsid w:val="433D6C2E"/>
    <w:rsid w:val="436133E5"/>
    <w:rsid w:val="43A7795B"/>
    <w:rsid w:val="43AC644B"/>
    <w:rsid w:val="43B125F1"/>
    <w:rsid w:val="441E0573"/>
    <w:rsid w:val="444F06BE"/>
    <w:rsid w:val="445B1B5A"/>
    <w:rsid w:val="4515798A"/>
    <w:rsid w:val="454030FA"/>
    <w:rsid w:val="45551A47"/>
    <w:rsid w:val="464D3486"/>
    <w:rsid w:val="466B0880"/>
    <w:rsid w:val="46960E37"/>
    <w:rsid w:val="46C01A18"/>
    <w:rsid w:val="479071D6"/>
    <w:rsid w:val="48050509"/>
    <w:rsid w:val="482B44CE"/>
    <w:rsid w:val="490D166E"/>
    <w:rsid w:val="49260198"/>
    <w:rsid w:val="49A03398"/>
    <w:rsid w:val="49B02FC2"/>
    <w:rsid w:val="49CC53DF"/>
    <w:rsid w:val="4A26658A"/>
    <w:rsid w:val="4B0D251F"/>
    <w:rsid w:val="4B1038ED"/>
    <w:rsid w:val="4B4444E6"/>
    <w:rsid w:val="4B681B5C"/>
    <w:rsid w:val="4B9F6A86"/>
    <w:rsid w:val="4BF7584B"/>
    <w:rsid w:val="4C251683"/>
    <w:rsid w:val="4C3221FC"/>
    <w:rsid w:val="4C454FFD"/>
    <w:rsid w:val="4C502C79"/>
    <w:rsid w:val="4D2E7F25"/>
    <w:rsid w:val="4D8003A1"/>
    <w:rsid w:val="4D850884"/>
    <w:rsid w:val="4DBC30F0"/>
    <w:rsid w:val="4E384EC9"/>
    <w:rsid w:val="4E577CBD"/>
    <w:rsid w:val="4EDB1D86"/>
    <w:rsid w:val="4F0E3235"/>
    <w:rsid w:val="4F3C52D4"/>
    <w:rsid w:val="4F3E177F"/>
    <w:rsid w:val="4F6E1B70"/>
    <w:rsid w:val="4F9806AE"/>
    <w:rsid w:val="4FD035CA"/>
    <w:rsid w:val="4FD05277"/>
    <w:rsid w:val="51501473"/>
    <w:rsid w:val="51594A92"/>
    <w:rsid w:val="51C449CD"/>
    <w:rsid w:val="52056050"/>
    <w:rsid w:val="520F5590"/>
    <w:rsid w:val="521945B5"/>
    <w:rsid w:val="526A0421"/>
    <w:rsid w:val="52CE28EC"/>
    <w:rsid w:val="530670F8"/>
    <w:rsid w:val="53083E3D"/>
    <w:rsid w:val="532D4459"/>
    <w:rsid w:val="53487E8F"/>
    <w:rsid w:val="53D22C9D"/>
    <w:rsid w:val="53EC7A91"/>
    <w:rsid w:val="546F697A"/>
    <w:rsid w:val="548E13E0"/>
    <w:rsid w:val="54966540"/>
    <w:rsid w:val="54AB15AF"/>
    <w:rsid w:val="54B50A04"/>
    <w:rsid w:val="54DF38E5"/>
    <w:rsid w:val="54E06AE3"/>
    <w:rsid w:val="54F72AA3"/>
    <w:rsid w:val="55344881"/>
    <w:rsid w:val="554377B0"/>
    <w:rsid w:val="55654CE0"/>
    <w:rsid w:val="557C53B8"/>
    <w:rsid w:val="55926906"/>
    <w:rsid w:val="561B1F20"/>
    <w:rsid w:val="56230B71"/>
    <w:rsid w:val="564159B7"/>
    <w:rsid w:val="5652634F"/>
    <w:rsid w:val="56A44E11"/>
    <w:rsid w:val="573F2DAE"/>
    <w:rsid w:val="57857B54"/>
    <w:rsid w:val="58910B6D"/>
    <w:rsid w:val="589F4192"/>
    <w:rsid w:val="58D2274B"/>
    <w:rsid w:val="59717674"/>
    <w:rsid w:val="59A30C9C"/>
    <w:rsid w:val="59CB36A3"/>
    <w:rsid w:val="5A6C1D39"/>
    <w:rsid w:val="5B4C16AB"/>
    <w:rsid w:val="5C28672B"/>
    <w:rsid w:val="5C86505B"/>
    <w:rsid w:val="5CA12C99"/>
    <w:rsid w:val="5CAA3812"/>
    <w:rsid w:val="5CBB112C"/>
    <w:rsid w:val="5D045A0D"/>
    <w:rsid w:val="5D285D06"/>
    <w:rsid w:val="5DC47304"/>
    <w:rsid w:val="5DCA7286"/>
    <w:rsid w:val="5E626805"/>
    <w:rsid w:val="5EA0080C"/>
    <w:rsid w:val="5EAE0379"/>
    <w:rsid w:val="5F367A72"/>
    <w:rsid w:val="5F7B30C5"/>
    <w:rsid w:val="60535DA2"/>
    <w:rsid w:val="609C4A28"/>
    <w:rsid w:val="60E21CAF"/>
    <w:rsid w:val="60E317F8"/>
    <w:rsid w:val="60E337D7"/>
    <w:rsid w:val="619A3DAD"/>
    <w:rsid w:val="61E70206"/>
    <w:rsid w:val="62730367"/>
    <w:rsid w:val="627921AF"/>
    <w:rsid w:val="62E73C6E"/>
    <w:rsid w:val="63187FD6"/>
    <w:rsid w:val="63276742"/>
    <w:rsid w:val="632B5DF3"/>
    <w:rsid w:val="633A15F8"/>
    <w:rsid w:val="634703D9"/>
    <w:rsid w:val="635853BA"/>
    <w:rsid w:val="639B5062"/>
    <w:rsid w:val="641002FD"/>
    <w:rsid w:val="644E35EB"/>
    <w:rsid w:val="64625557"/>
    <w:rsid w:val="64B63642"/>
    <w:rsid w:val="650B7185"/>
    <w:rsid w:val="652F13D7"/>
    <w:rsid w:val="6560705A"/>
    <w:rsid w:val="65F74BB7"/>
    <w:rsid w:val="660F65D7"/>
    <w:rsid w:val="66503E90"/>
    <w:rsid w:val="667440E1"/>
    <w:rsid w:val="668319A6"/>
    <w:rsid w:val="67305FFA"/>
    <w:rsid w:val="676B5654"/>
    <w:rsid w:val="677B0DBD"/>
    <w:rsid w:val="677D0FD4"/>
    <w:rsid w:val="67934516"/>
    <w:rsid w:val="67B4544C"/>
    <w:rsid w:val="67CF0D37"/>
    <w:rsid w:val="68111941"/>
    <w:rsid w:val="68237268"/>
    <w:rsid w:val="682D4818"/>
    <w:rsid w:val="68757EBF"/>
    <w:rsid w:val="69094362"/>
    <w:rsid w:val="69412A5F"/>
    <w:rsid w:val="69731C3C"/>
    <w:rsid w:val="6A8419D3"/>
    <w:rsid w:val="6A853663"/>
    <w:rsid w:val="6B030553"/>
    <w:rsid w:val="6B243E46"/>
    <w:rsid w:val="6B3E603E"/>
    <w:rsid w:val="6B401DAB"/>
    <w:rsid w:val="6B921F32"/>
    <w:rsid w:val="6BF67C4E"/>
    <w:rsid w:val="6C0F078D"/>
    <w:rsid w:val="6C1C7AD4"/>
    <w:rsid w:val="6C2503E4"/>
    <w:rsid w:val="6C6A3DBF"/>
    <w:rsid w:val="6C6E10F7"/>
    <w:rsid w:val="6C745A78"/>
    <w:rsid w:val="6C8B062F"/>
    <w:rsid w:val="6D517B83"/>
    <w:rsid w:val="6D5C66EE"/>
    <w:rsid w:val="6DE252C6"/>
    <w:rsid w:val="6DE35FF1"/>
    <w:rsid w:val="6DF4709F"/>
    <w:rsid w:val="6E73124A"/>
    <w:rsid w:val="6F4E0F32"/>
    <w:rsid w:val="6F8A5233"/>
    <w:rsid w:val="6FBA70B6"/>
    <w:rsid w:val="71144DD0"/>
    <w:rsid w:val="71C24728"/>
    <w:rsid w:val="71DC69CC"/>
    <w:rsid w:val="723972AE"/>
    <w:rsid w:val="727F3F07"/>
    <w:rsid w:val="72D24974"/>
    <w:rsid w:val="73697BE9"/>
    <w:rsid w:val="73A85ADA"/>
    <w:rsid w:val="73AA595A"/>
    <w:rsid w:val="73E37359"/>
    <w:rsid w:val="75FE5283"/>
    <w:rsid w:val="76AA0443"/>
    <w:rsid w:val="77237FC1"/>
    <w:rsid w:val="775D0539"/>
    <w:rsid w:val="77E008D0"/>
    <w:rsid w:val="77E723AD"/>
    <w:rsid w:val="77EA316D"/>
    <w:rsid w:val="7877613F"/>
    <w:rsid w:val="78A430F2"/>
    <w:rsid w:val="78C06F62"/>
    <w:rsid w:val="79283763"/>
    <w:rsid w:val="796655B0"/>
    <w:rsid w:val="7990438F"/>
    <w:rsid w:val="799E67D7"/>
    <w:rsid w:val="79C53C45"/>
    <w:rsid w:val="79F33538"/>
    <w:rsid w:val="7A116E2F"/>
    <w:rsid w:val="7A3E1232"/>
    <w:rsid w:val="7A59275B"/>
    <w:rsid w:val="7A8A5052"/>
    <w:rsid w:val="7A98380D"/>
    <w:rsid w:val="7AE81BDA"/>
    <w:rsid w:val="7AF26A04"/>
    <w:rsid w:val="7B291643"/>
    <w:rsid w:val="7BB004C2"/>
    <w:rsid w:val="7BC73F39"/>
    <w:rsid w:val="7BEE3528"/>
    <w:rsid w:val="7C0C64A0"/>
    <w:rsid w:val="7C243549"/>
    <w:rsid w:val="7C411E21"/>
    <w:rsid w:val="7CA72507"/>
    <w:rsid w:val="7D6B31C5"/>
    <w:rsid w:val="7E896BCD"/>
    <w:rsid w:val="7E9D2C86"/>
    <w:rsid w:val="7EC51B0B"/>
    <w:rsid w:val="7EFF324E"/>
    <w:rsid w:val="7FF42E2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8"/>
    <w:autoRedefine/>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29"/>
    <w:autoRedefine/>
    <w:qFormat/>
    <w:uiPriority w:val="99"/>
    <w:pPr>
      <w:keepNext/>
      <w:keepLines/>
      <w:spacing w:before="260" w:after="260" w:line="415" w:lineRule="auto"/>
      <w:outlineLvl w:val="1"/>
    </w:pPr>
    <w:rPr>
      <w:rFonts w:ascii="Cambria" w:hAnsi="Cambria" w:cs="Cambria"/>
      <w:b/>
      <w:bCs/>
      <w:sz w:val="32"/>
      <w:szCs w:val="32"/>
    </w:rPr>
  </w:style>
  <w:style w:type="paragraph" w:styleId="4">
    <w:name w:val="heading 3"/>
    <w:basedOn w:val="1"/>
    <w:next w:val="1"/>
    <w:link w:val="30"/>
    <w:autoRedefine/>
    <w:qFormat/>
    <w:uiPriority w:val="99"/>
    <w:pPr>
      <w:widowControl/>
      <w:spacing w:before="100" w:beforeAutospacing="1" w:after="100" w:afterAutospacing="1"/>
      <w:jc w:val="left"/>
      <w:outlineLvl w:val="2"/>
    </w:pPr>
    <w:rPr>
      <w:rFonts w:ascii="宋体" w:cs="宋体"/>
      <w:b/>
      <w:bCs/>
      <w:kern w:val="0"/>
      <w:sz w:val="27"/>
      <w:szCs w:val="27"/>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99"/>
    <w:pPr>
      <w:adjustRightInd w:val="0"/>
      <w:spacing w:line="360" w:lineRule="atLeast"/>
      <w:ind w:firstLine="482"/>
      <w:textAlignment w:val="baseline"/>
    </w:pPr>
    <w:rPr>
      <w:kern w:val="0"/>
      <w:sz w:val="24"/>
      <w:szCs w:val="24"/>
    </w:rPr>
  </w:style>
  <w:style w:type="paragraph" w:styleId="6">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7">
    <w:name w:val="annotation text"/>
    <w:basedOn w:val="1"/>
    <w:link w:val="31"/>
    <w:autoRedefine/>
    <w:semiHidden/>
    <w:qFormat/>
    <w:uiPriority w:val="99"/>
    <w:pPr>
      <w:jc w:val="left"/>
    </w:pPr>
  </w:style>
  <w:style w:type="paragraph" w:styleId="8">
    <w:name w:val="Body Text"/>
    <w:basedOn w:val="1"/>
    <w:autoRedefine/>
    <w:qFormat/>
    <w:uiPriority w:val="99"/>
    <w:rPr>
      <w:rFonts w:ascii="楷体_GB2312" w:hAnsi="Arial" w:eastAsia="楷体_GB2312"/>
      <w:sz w:val="28"/>
      <w:szCs w:val="28"/>
    </w:rPr>
  </w:style>
  <w:style w:type="paragraph" w:styleId="9">
    <w:name w:val="Body Text Indent"/>
    <w:basedOn w:val="1"/>
    <w:link w:val="33"/>
    <w:autoRedefine/>
    <w:qFormat/>
    <w:uiPriority w:val="99"/>
    <w:pPr>
      <w:spacing w:after="120"/>
      <w:ind w:left="200" w:leftChars="200"/>
    </w:pPr>
  </w:style>
  <w:style w:type="paragraph" w:styleId="10">
    <w:name w:val="Plain Text"/>
    <w:basedOn w:val="1"/>
    <w:link w:val="34"/>
    <w:autoRedefine/>
    <w:qFormat/>
    <w:uiPriority w:val="0"/>
    <w:pPr>
      <w:widowControl/>
      <w:jc w:val="left"/>
    </w:pPr>
    <w:rPr>
      <w:rFonts w:ascii="宋体" w:cs="宋体"/>
      <w:kern w:val="0"/>
    </w:rPr>
  </w:style>
  <w:style w:type="paragraph" w:styleId="11">
    <w:name w:val="Date"/>
    <w:basedOn w:val="1"/>
    <w:next w:val="1"/>
    <w:link w:val="35"/>
    <w:autoRedefine/>
    <w:qFormat/>
    <w:uiPriority w:val="99"/>
    <w:rPr>
      <w:rFonts w:ascii="宋体" w:cs="宋体"/>
      <w:sz w:val="24"/>
      <w:szCs w:val="24"/>
    </w:rPr>
  </w:style>
  <w:style w:type="paragraph" w:styleId="12">
    <w:name w:val="Balloon Text"/>
    <w:basedOn w:val="1"/>
    <w:link w:val="36"/>
    <w:autoRedefine/>
    <w:semiHidden/>
    <w:qFormat/>
    <w:uiPriority w:val="99"/>
    <w:rPr>
      <w:sz w:val="18"/>
      <w:szCs w:val="18"/>
    </w:rPr>
  </w:style>
  <w:style w:type="paragraph" w:styleId="13">
    <w:name w:val="footer"/>
    <w:basedOn w:val="1"/>
    <w:link w:val="37"/>
    <w:autoRedefine/>
    <w:qFormat/>
    <w:uiPriority w:val="99"/>
    <w:pPr>
      <w:tabs>
        <w:tab w:val="center" w:pos="4153"/>
        <w:tab w:val="right" w:pos="8306"/>
      </w:tabs>
      <w:snapToGrid w:val="0"/>
      <w:jc w:val="left"/>
    </w:pPr>
    <w:rPr>
      <w:sz w:val="18"/>
      <w:szCs w:val="18"/>
    </w:rPr>
  </w:style>
  <w:style w:type="paragraph" w:styleId="14">
    <w:name w:val="header"/>
    <w:basedOn w:val="1"/>
    <w:link w:val="38"/>
    <w:autoRedefine/>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56"/>
    <w:autoRedefine/>
    <w:qFormat/>
    <w:locked/>
    <w:uiPriority w:val="0"/>
    <w:pPr>
      <w:adjustRightInd w:val="0"/>
      <w:snapToGrid w:val="0"/>
      <w:spacing w:line="360" w:lineRule="auto"/>
      <w:jc w:val="center"/>
      <w:outlineLvl w:val="0"/>
    </w:pPr>
    <w:rPr>
      <w:rFonts w:ascii="Cambria" w:hAnsi="Cambria"/>
      <w:b/>
      <w:bCs/>
      <w:kern w:val="28"/>
      <w:sz w:val="32"/>
      <w:szCs w:val="32"/>
    </w:rPr>
  </w:style>
  <w:style w:type="paragraph" w:styleId="16">
    <w:name w:val="Body Text Indent 3"/>
    <w:basedOn w:val="1"/>
    <w:link w:val="39"/>
    <w:autoRedefine/>
    <w:qFormat/>
    <w:uiPriority w:val="99"/>
    <w:pPr>
      <w:spacing w:line="400" w:lineRule="exact"/>
      <w:ind w:firstLine="200" w:firstLineChars="200"/>
    </w:pPr>
    <w:rPr>
      <w:sz w:val="24"/>
      <w:szCs w:val="24"/>
    </w:rPr>
  </w:style>
  <w:style w:type="paragraph" w:styleId="17">
    <w:name w:val="Body Text 2"/>
    <w:basedOn w:val="1"/>
    <w:link w:val="40"/>
    <w:autoRedefine/>
    <w:qFormat/>
    <w:uiPriority w:val="99"/>
    <w:pPr>
      <w:spacing w:after="120" w:line="480" w:lineRule="auto"/>
    </w:pPr>
  </w:style>
  <w:style w:type="paragraph" w:styleId="18">
    <w:name w:val="Normal (Web)"/>
    <w:basedOn w:val="1"/>
    <w:autoRedefine/>
    <w:qFormat/>
    <w:uiPriority w:val="99"/>
    <w:pPr>
      <w:widowControl/>
      <w:spacing w:before="100" w:beforeAutospacing="1" w:after="100" w:afterAutospacing="1"/>
      <w:jc w:val="left"/>
    </w:pPr>
    <w:rPr>
      <w:rFonts w:ascii="宋体" w:cs="宋体"/>
      <w:kern w:val="0"/>
      <w:sz w:val="24"/>
      <w:szCs w:val="24"/>
    </w:rPr>
  </w:style>
  <w:style w:type="paragraph" w:styleId="19">
    <w:name w:val="annotation subject"/>
    <w:basedOn w:val="7"/>
    <w:next w:val="7"/>
    <w:link w:val="32"/>
    <w:autoRedefine/>
    <w:semiHidden/>
    <w:qFormat/>
    <w:uiPriority w:val="99"/>
    <w:rPr>
      <w:b/>
      <w:bCs/>
    </w:rPr>
  </w:style>
  <w:style w:type="table" w:styleId="21">
    <w:name w:val="Table Grid"/>
    <w:basedOn w:val="20"/>
    <w:autoRedefine/>
    <w:qFormat/>
    <w:uiPriority w:val="99"/>
    <w:rPr>
      <w:rFonts w:ascii="等线" w:hAnsi="等线" w:eastAsia="等线" w:cs="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autoRedefine/>
    <w:qFormat/>
    <w:uiPriority w:val="99"/>
    <w:rPr>
      <w:b/>
      <w:bCs/>
    </w:rPr>
  </w:style>
  <w:style w:type="character" w:styleId="24">
    <w:name w:val="page number"/>
    <w:basedOn w:val="22"/>
    <w:autoRedefine/>
    <w:qFormat/>
    <w:uiPriority w:val="99"/>
  </w:style>
  <w:style w:type="character" w:styleId="25">
    <w:name w:val="FollowedHyperlink"/>
    <w:basedOn w:val="22"/>
    <w:autoRedefine/>
    <w:qFormat/>
    <w:uiPriority w:val="99"/>
    <w:rPr>
      <w:color w:val="800080"/>
      <w:u w:val="none"/>
    </w:rPr>
  </w:style>
  <w:style w:type="character" w:styleId="26">
    <w:name w:val="Hyperlink"/>
    <w:basedOn w:val="22"/>
    <w:autoRedefine/>
    <w:qFormat/>
    <w:uiPriority w:val="99"/>
    <w:rPr>
      <w:color w:val="0000FF"/>
      <w:u w:val="none"/>
    </w:rPr>
  </w:style>
  <w:style w:type="character" w:styleId="27">
    <w:name w:val="annotation reference"/>
    <w:basedOn w:val="22"/>
    <w:autoRedefine/>
    <w:semiHidden/>
    <w:qFormat/>
    <w:uiPriority w:val="99"/>
    <w:rPr>
      <w:sz w:val="21"/>
      <w:szCs w:val="21"/>
    </w:rPr>
  </w:style>
  <w:style w:type="character" w:customStyle="1" w:styleId="28">
    <w:name w:val="标题 1 Char"/>
    <w:basedOn w:val="22"/>
    <w:link w:val="3"/>
    <w:autoRedefine/>
    <w:qFormat/>
    <w:locked/>
    <w:uiPriority w:val="0"/>
    <w:rPr>
      <w:b/>
      <w:bCs/>
      <w:kern w:val="44"/>
      <w:sz w:val="44"/>
      <w:szCs w:val="44"/>
    </w:rPr>
  </w:style>
  <w:style w:type="character" w:customStyle="1" w:styleId="29">
    <w:name w:val="标题 2 Char"/>
    <w:basedOn w:val="22"/>
    <w:link w:val="2"/>
    <w:autoRedefine/>
    <w:semiHidden/>
    <w:qFormat/>
    <w:uiPriority w:val="9"/>
    <w:rPr>
      <w:rFonts w:ascii="Cambria" w:hAnsi="Cambria" w:eastAsia="宋体" w:cs="Times New Roman"/>
      <w:b/>
      <w:bCs/>
      <w:sz w:val="32"/>
      <w:szCs w:val="32"/>
    </w:rPr>
  </w:style>
  <w:style w:type="character" w:customStyle="1" w:styleId="30">
    <w:name w:val="标题 3 Char"/>
    <w:basedOn w:val="22"/>
    <w:link w:val="4"/>
    <w:autoRedefine/>
    <w:semiHidden/>
    <w:qFormat/>
    <w:uiPriority w:val="9"/>
    <w:rPr>
      <w:b/>
      <w:bCs/>
      <w:sz w:val="32"/>
      <w:szCs w:val="32"/>
    </w:rPr>
  </w:style>
  <w:style w:type="character" w:customStyle="1" w:styleId="31">
    <w:name w:val="批注文字 Char"/>
    <w:basedOn w:val="22"/>
    <w:link w:val="7"/>
    <w:autoRedefine/>
    <w:semiHidden/>
    <w:qFormat/>
    <w:uiPriority w:val="99"/>
    <w:rPr>
      <w:szCs w:val="21"/>
    </w:rPr>
  </w:style>
  <w:style w:type="character" w:customStyle="1" w:styleId="32">
    <w:name w:val="批注主题 Char"/>
    <w:basedOn w:val="31"/>
    <w:link w:val="19"/>
    <w:autoRedefine/>
    <w:semiHidden/>
    <w:qFormat/>
    <w:uiPriority w:val="99"/>
    <w:rPr>
      <w:b/>
      <w:bCs/>
    </w:rPr>
  </w:style>
  <w:style w:type="character" w:customStyle="1" w:styleId="33">
    <w:name w:val="正文文本缩进 Char"/>
    <w:basedOn w:val="22"/>
    <w:link w:val="9"/>
    <w:autoRedefine/>
    <w:semiHidden/>
    <w:qFormat/>
    <w:uiPriority w:val="99"/>
    <w:rPr>
      <w:szCs w:val="21"/>
    </w:rPr>
  </w:style>
  <w:style w:type="character" w:customStyle="1" w:styleId="34">
    <w:name w:val="纯文本 Char"/>
    <w:basedOn w:val="22"/>
    <w:link w:val="10"/>
    <w:autoRedefine/>
    <w:qFormat/>
    <w:uiPriority w:val="0"/>
    <w:rPr>
      <w:rFonts w:ascii="宋体" w:hAnsi="Courier New" w:cs="Courier New"/>
      <w:szCs w:val="21"/>
    </w:rPr>
  </w:style>
  <w:style w:type="character" w:customStyle="1" w:styleId="35">
    <w:name w:val="日期 Char"/>
    <w:basedOn w:val="22"/>
    <w:link w:val="11"/>
    <w:autoRedefine/>
    <w:semiHidden/>
    <w:qFormat/>
    <w:uiPriority w:val="99"/>
    <w:rPr>
      <w:szCs w:val="21"/>
    </w:rPr>
  </w:style>
  <w:style w:type="character" w:customStyle="1" w:styleId="36">
    <w:name w:val="批注框文本 Char"/>
    <w:basedOn w:val="22"/>
    <w:link w:val="12"/>
    <w:autoRedefine/>
    <w:semiHidden/>
    <w:qFormat/>
    <w:uiPriority w:val="99"/>
    <w:rPr>
      <w:sz w:val="0"/>
      <w:szCs w:val="0"/>
    </w:rPr>
  </w:style>
  <w:style w:type="character" w:customStyle="1" w:styleId="37">
    <w:name w:val="页脚 Char"/>
    <w:basedOn w:val="22"/>
    <w:link w:val="13"/>
    <w:autoRedefine/>
    <w:qFormat/>
    <w:locked/>
    <w:uiPriority w:val="99"/>
    <w:rPr>
      <w:kern w:val="2"/>
      <w:sz w:val="18"/>
      <w:szCs w:val="18"/>
    </w:rPr>
  </w:style>
  <w:style w:type="character" w:customStyle="1" w:styleId="38">
    <w:name w:val="页眉 Char"/>
    <w:basedOn w:val="22"/>
    <w:link w:val="14"/>
    <w:autoRedefine/>
    <w:semiHidden/>
    <w:qFormat/>
    <w:uiPriority w:val="99"/>
    <w:rPr>
      <w:sz w:val="18"/>
      <w:szCs w:val="18"/>
    </w:rPr>
  </w:style>
  <w:style w:type="character" w:customStyle="1" w:styleId="39">
    <w:name w:val="正文文本缩进 3 Char"/>
    <w:basedOn w:val="22"/>
    <w:link w:val="16"/>
    <w:autoRedefine/>
    <w:semiHidden/>
    <w:qFormat/>
    <w:uiPriority w:val="99"/>
    <w:rPr>
      <w:sz w:val="16"/>
      <w:szCs w:val="16"/>
    </w:rPr>
  </w:style>
  <w:style w:type="character" w:customStyle="1" w:styleId="40">
    <w:name w:val="正文文本 2 Char1"/>
    <w:basedOn w:val="22"/>
    <w:link w:val="17"/>
    <w:autoRedefine/>
    <w:semiHidden/>
    <w:qFormat/>
    <w:locked/>
    <w:uiPriority w:val="99"/>
    <w:rPr>
      <w:kern w:val="2"/>
      <w:sz w:val="21"/>
      <w:szCs w:val="21"/>
    </w:rPr>
  </w:style>
  <w:style w:type="paragraph" w:customStyle="1" w:styleId="41">
    <w:name w:val="正"/>
    <w:basedOn w:val="1"/>
    <w:autoRedefine/>
    <w:qFormat/>
    <w:uiPriority w:val="0"/>
    <w:pPr>
      <w:spacing w:line="360" w:lineRule="auto"/>
      <w:ind w:left="150" w:hanging="150" w:hangingChars="150"/>
    </w:pPr>
    <w:rPr>
      <w:sz w:val="24"/>
      <w:szCs w:val="24"/>
    </w:rPr>
  </w:style>
  <w:style w:type="paragraph" w:customStyle="1" w:styleId="42">
    <w:name w:val="纯文本1"/>
    <w:basedOn w:val="1"/>
    <w:autoRedefine/>
    <w:qFormat/>
    <w:uiPriority w:val="99"/>
    <w:pPr>
      <w:adjustRightInd w:val="0"/>
    </w:pPr>
    <w:rPr>
      <w:rFonts w:ascii="宋体" w:hAnsi="宋体" w:eastAsia="楷体_GB2312" w:cs="宋体"/>
      <w:sz w:val="28"/>
      <w:szCs w:val="28"/>
    </w:rPr>
  </w:style>
  <w:style w:type="paragraph" w:customStyle="1" w:styleId="43">
    <w:name w:val="列出段落1"/>
    <w:basedOn w:val="1"/>
    <w:autoRedefine/>
    <w:qFormat/>
    <w:uiPriority w:val="99"/>
    <w:pPr>
      <w:ind w:firstLine="200" w:firstLineChars="200"/>
    </w:pPr>
  </w:style>
  <w:style w:type="paragraph" w:customStyle="1" w:styleId="44">
    <w:name w:val="black1"/>
    <w:basedOn w:val="1"/>
    <w:autoRedefine/>
    <w:qFormat/>
    <w:uiPriority w:val="99"/>
    <w:pPr>
      <w:widowControl/>
      <w:spacing w:before="100" w:beforeAutospacing="1" w:after="100" w:afterAutospacing="1"/>
      <w:jc w:val="left"/>
    </w:pPr>
    <w:rPr>
      <w:rFonts w:ascii="宋体" w:cs="宋体"/>
      <w:kern w:val="0"/>
      <w:sz w:val="24"/>
      <w:szCs w:val="24"/>
    </w:rPr>
  </w:style>
  <w:style w:type="paragraph" w:customStyle="1" w:styleId="45">
    <w:name w:val="正文缩进2格"/>
    <w:basedOn w:val="1"/>
    <w:link w:val="49"/>
    <w:autoRedefine/>
    <w:qFormat/>
    <w:uiPriority w:val="99"/>
    <w:pPr>
      <w:spacing w:line="600" w:lineRule="exact"/>
      <w:ind w:firstLine="206" w:firstLineChars="206"/>
    </w:pPr>
    <w:rPr>
      <w:rFonts w:ascii="仿宋_GB2312" w:eastAsia="仿宋_GB2312"/>
      <w:sz w:val="28"/>
      <w:szCs w:val="28"/>
    </w:rPr>
  </w:style>
  <w:style w:type="paragraph" w:customStyle="1" w:styleId="46">
    <w:name w:val="正文缩进1"/>
    <w:basedOn w:val="1"/>
    <w:autoRedefine/>
    <w:qFormat/>
    <w:uiPriority w:val="99"/>
    <w:pPr>
      <w:autoSpaceDE w:val="0"/>
      <w:autoSpaceDN w:val="0"/>
      <w:adjustRightInd w:val="0"/>
      <w:ind w:firstLine="420"/>
      <w:jc w:val="left"/>
    </w:pPr>
    <w:rPr>
      <w:rFonts w:ascii="宋体" w:hAnsi="Calibri" w:cs="宋体"/>
      <w:sz w:val="24"/>
      <w:szCs w:val="24"/>
    </w:rPr>
  </w:style>
  <w:style w:type="paragraph" w:customStyle="1" w:styleId="47">
    <w:name w:val="索引 11"/>
    <w:basedOn w:val="1"/>
    <w:next w:val="1"/>
    <w:autoRedefine/>
    <w:qFormat/>
    <w:uiPriority w:val="99"/>
    <w:pPr>
      <w:spacing w:line="360" w:lineRule="auto"/>
    </w:pPr>
    <w:rPr>
      <w:rFonts w:ascii="仿宋_GB2312" w:eastAsia="仿宋_GB2312" w:cs="仿宋_GB2312"/>
      <w:sz w:val="24"/>
      <w:szCs w:val="24"/>
    </w:rPr>
  </w:style>
  <w:style w:type="paragraph" w:styleId="48">
    <w:name w:val="List Paragraph"/>
    <w:basedOn w:val="1"/>
    <w:autoRedefine/>
    <w:qFormat/>
    <w:uiPriority w:val="99"/>
    <w:pPr>
      <w:ind w:firstLine="420" w:firstLineChars="200"/>
    </w:pPr>
  </w:style>
  <w:style w:type="character" w:customStyle="1" w:styleId="49">
    <w:name w:val="正文缩进2格 Char Char"/>
    <w:link w:val="45"/>
    <w:autoRedefine/>
    <w:qFormat/>
    <w:locked/>
    <w:uiPriority w:val="99"/>
    <w:rPr>
      <w:rFonts w:ascii="仿宋_GB2312" w:eastAsia="仿宋_GB2312" w:cs="仿宋_GB2312"/>
      <w:kern w:val="2"/>
      <w:sz w:val="28"/>
      <w:szCs w:val="28"/>
    </w:rPr>
  </w:style>
  <w:style w:type="character" w:customStyle="1" w:styleId="50">
    <w:name w:val="正文文本 2 Char"/>
    <w:basedOn w:val="22"/>
    <w:autoRedefine/>
    <w:qFormat/>
    <w:uiPriority w:val="99"/>
    <w:rPr>
      <w:kern w:val="2"/>
      <w:sz w:val="24"/>
      <w:szCs w:val="24"/>
    </w:rPr>
  </w:style>
  <w:style w:type="paragraph" w:customStyle="1" w:styleId="51">
    <w:name w:val="金保标题正文"/>
    <w:autoRedefine/>
    <w:qFormat/>
    <w:uiPriority w:val="99"/>
    <w:pPr>
      <w:spacing w:line="360" w:lineRule="auto"/>
      <w:ind w:firstLine="200" w:firstLineChars="200"/>
    </w:pPr>
    <w:rPr>
      <w:rFonts w:ascii="Calibri" w:hAnsi="Calibri" w:eastAsia="宋体" w:cs="Calibri"/>
      <w:kern w:val="2"/>
      <w:sz w:val="24"/>
      <w:szCs w:val="24"/>
      <w:lang w:val="en-US" w:eastAsia="zh-CN" w:bidi="ar-SA"/>
    </w:rPr>
  </w:style>
  <w:style w:type="paragraph" w:customStyle="1" w:styleId="52">
    <w:name w:val="my正文"/>
    <w:basedOn w:val="9"/>
    <w:autoRedefine/>
    <w:qFormat/>
    <w:uiPriority w:val="0"/>
    <w:pPr>
      <w:spacing w:after="0" w:line="360" w:lineRule="auto"/>
      <w:ind w:left="0" w:leftChars="0" w:firstLine="540" w:firstLineChars="225"/>
    </w:pPr>
    <w:rPr>
      <w:rFonts w:ascii="宋体" w:hAnsi="宋体" w:cs="宋体"/>
      <w:kern w:val="0"/>
      <w:sz w:val="24"/>
      <w:szCs w:val="24"/>
    </w:rPr>
  </w:style>
  <w:style w:type="paragraph" w:customStyle="1" w:styleId="53">
    <w:name w:val="修订1"/>
    <w:autoRedefine/>
    <w:hidden/>
    <w:semiHidden/>
    <w:qFormat/>
    <w:uiPriority w:val="99"/>
    <w:rPr>
      <w:rFonts w:ascii="Times New Roman" w:hAnsi="Times New Roman" w:eastAsia="宋体" w:cs="Times New Roman"/>
      <w:kern w:val="2"/>
      <w:sz w:val="21"/>
      <w:szCs w:val="21"/>
      <w:lang w:val="en-US" w:eastAsia="zh-CN" w:bidi="ar-SA"/>
    </w:rPr>
  </w:style>
  <w:style w:type="paragraph" w:customStyle="1" w:styleId="54">
    <w:name w:val="paragraphindent"/>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55">
    <w:name w:val="副标题 Char1"/>
    <w:autoRedefine/>
    <w:qFormat/>
    <w:uiPriority w:val="0"/>
    <w:rPr>
      <w:rFonts w:ascii="Cambria" w:hAnsi="Cambria"/>
      <w:b/>
      <w:bCs/>
      <w:kern w:val="28"/>
      <w:sz w:val="32"/>
      <w:szCs w:val="32"/>
    </w:rPr>
  </w:style>
  <w:style w:type="character" w:customStyle="1" w:styleId="56">
    <w:name w:val="副标题 Char"/>
    <w:basedOn w:val="22"/>
    <w:link w:val="15"/>
    <w:autoRedefine/>
    <w:qFormat/>
    <w:uiPriority w:val="0"/>
    <w:rPr>
      <w:rFonts w:ascii="Cambria" w:hAnsi="Cambria" w:cs="Times New Roman"/>
      <w:b/>
      <w:bCs/>
      <w:kern w:val="28"/>
      <w:sz w:val="32"/>
      <w:szCs w:val="32"/>
    </w:rPr>
  </w:style>
  <w:style w:type="paragraph" w:customStyle="1" w:styleId="57">
    <w:name w:val="样式11"/>
    <w:basedOn w:val="1"/>
    <w:autoRedefine/>
    <w:qFormat/>
    <w:uiPriority w:val="0"/>
    <w:pPr>
      <w:numPr>
        <w:ilvl w:val="0"/>
        <w:numId w:val="1"/>
      </w:numPr>
      <w:adjustRightInd w:val="0"/>
      <w:snapToGrid w:val="0"/>
      <w:spacing w:line="440" w:lineRule="exact"/>
      <w:outlineLvl w:val="2"/>
    </w:pPr>
    <w:rPr>
      <w:rFonts w:ascii="仿宋_GB2312" w:hAnsi="宋体" w:eastAsia="仿宋_GB2312"/>
      <w:color w:val="FF0000"/>
      <w:sz w:val="28"/>
      <w:szCs w:val="28"/>
    </w:rPr>
  </w:style>
  <w:style w:type="paragraph" w:customStyle="1" w:styleId="58">
    <w:name w:val="正文文本 21"/>
    <w:basedOn w:val="1"/>
    <w:autoRedefine/>
    <w:qFormat/>
    <w:uiPriority w:val="0"/>
    <w:pPr>
      <w:autoSpaceDE w:val="0"/>
      <w:autoSpaceDN w:val="0"/>
      <w:adjustRightInd w:val="0"/>
      <w:spacing w:line="380" w:lineRule="atLeast"/>
    </w:pPr>
    <w:rPr>
      <w:spacing w:val="10"/>
      <w:kern w:val="0"/>
      <w:sz w:val="24"/>
      <w:szCs w:val="20"/>
    </w:rPr>
  </w:style>
  <w:style w:type="paragraph" w:customStyle="1" w:styleId="59">
    <w:name w:val="Char Char Char Char"/>
    <w:basedOn w:val="1"/>
    <w:autoRedefine/>
    <w:qFormat/>
    <w:uiPriority w:val="99"/>
  </w:style>
  <w:style w:type="paragraph" w:customStyle="1" w:styleId="60">
    <w:name w:val="样式 标题 2 + 黑色 行距: 1.5 倍行距"/>
    <w:basedOn w:val="2"/>
    <w:autoRedefine/>
    <w:qFormat/>
    <w:uiPriority w:val="0"/>
    <w:pPr>
      <w:spacing w:line="360" w:lineRule="auto"/>
    </w:pPr>
    <w:rPr>
      <w:rFonts w:eastAsia="宋体" w:cs="宋体"/>
      <w:color w:val="000000"/>
      <w:szCs w:val="20"/>
    </w:rPr>
  </w:style>
  <w:style w:type="paragraph" w:customStyle="1" w:styleId="61">
    <w:name w:val="Default"/>
    <w:autoRedefine/>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2AE623-7C3A-4E24-9A21-7B52863FE01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16601</Words>
  <Characters>17150</Characters>
  <Lines>140</Lines>
  <Paragraphs>39</Paragraphs>
  <TotalTime>18</TotalTime>
  <ScaleCrop>false</ScaleCrop>
  <LinksUpToDate>false</LinksUpToDate>
  <CharactersWithSpaces>18040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2019-11-11T08:13:00Z</dcterms:created>
  <dc:creator>微软用户</dc:creator>
  <cp:lastModifiedBy>忘川</cp:lastModifiedBy>
  <cp:lastPrinted>2023-01-16T11:18:00Z</cp:lastPrinted>
  <dcterms:modified xsi:type="dcterms:W3CDTF">2024-04-03T06:26:28Z</dcterms:modified>
  <dc:title>通州区2012年度校安工程</dc:title>
  <cp:revision>497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16C06562271C4F05920B81BE625E58B2_13</vt:lpwstr>
  </property>
</Properties>
</file>